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217EC">
      <w:pPr>
        <w:spacing w:before="156" w:beforeLines="50" w:after="156" w:afterLines="50"/>
        <w:rPr>
          <w:rFonts w:hint="eastAsia" w:ascii="宋体" w:hAnsi="宋体"/>
          <w:bCs/>
          <w:szCs w:val="21"/>
        </w:rPr>
      </w:pPr>
      <w:r>
        <w:rPr>
          <w:rFonts w:hint="eastAsia" w:ascii="宋体" w:hAnsi="宋体"/>
          <w:bCs/>
          <w:szCs w:val="21"/>
        </w:rPr>
        <w:t>公司代码：</w:t>
      </w:r>
      <w:r>
        <w:rPr>
          <w:rFonts w:hint="eastAsia" w:ascii="宋体" w:hAnsi="宋体"/>
        </w:rPr>
        <w:t>600751</w:t>
      </w:r>
      <w:r>
        <w:rPr>
          <w:rFonts w:hint="eastAsia" w:ascii="宋体" w:hAnsi="宋体"/>
          <w:bCs/>
          <w:szCs w:val="21"/>
        </w:rPr>
        <w:t xml:space="preserve">    900938         　　　　　　　　　　公司简称：</w:t>
      </w:r>
      <w:r>
        <w:rPr>
          <w:rFonts w:hint="eastAsia" w:ascii="宋体" w:hAnsi="宋体"/>
        </w:rPr>
        <w:t>海航科技    海科B</w:t>
      </w:r>
    </w:p>
    <w:p w14:paraId="13FC5A01"/>
    <w:p w14:paraId="5315A4B7"/>
    <w:p w14:paraId="005CE959"/>
    <w:p w14:paraId="0770A37F"/>
    <w:p w14:paraId="073D0068"/>
    <w:p w14:paraId="4A45394A"/>
    <w:p w14:paraId="5CB39A36"/>
    <w:p w14:paraId="712FE3C1">
      <w:pPr>
        <w:jc w:val="center"/>
        <w:rPr>
          <w:b/>
          <w:bCs/>
          <w:sz w:val="32"/>
          <w:szCs w:val="32"/>
        </w:rPr>
      </w:pPr>
      <w:bookmarkStart w:id="0" w:name="_GoBack"/>
      <w:r>
        <w:rPr>
          <w:rFonts w:hint="eastAsia"/>
          <w:b/>
          <w:bCs/>
          <w:sz w:val="32"/>
          <w:szCs w:val="32"/>
        </w:rPr>
        <w:t>海航科技股份有限公司</w:t>
      </w:r>
    </w:p>
    <w:p w14:paraId="554150A8">
      <w:pPr>
        <w:jc w:val="center"/>
        <w:rPr>
          <w:b/>
          <w:bCs/>
          <w:sz w:val="32"/>
          <w:szCs w:val="32"/>
        </w:rPr>
      </w:pPr>
      <w:r>
        <w:rPr>
          <w:rFonts w:asciiTheme="majorEastAsia" w:hAnsiTheme="majorEastAsia" w:eastAsiaTheme="majorEastAsia"/>
          <w:b/>
          <w:bCs/>
          <w:sz w:val="32"/>
          <w:szCs w:val="32"/>
        </w:rPr>
        <w:t>2025</w:t>
      </w:r>
      <w:r>
        <w:rPr>
          <w:rFonts w:hint="eastAsia"/>
          <w:b/>
          <w:bCs/>
          <w:sz w:val="32"/>
          <w:szCs w:val="32"/>
        </w:rPr>
        <w:t>年半年度报告摘要</w:t>
      </w:r>
    </w:p>
    <w:bookmarkEnd w:id="0"/>
    <w:p w14:paraId="45C02C73"/>
    <w:p w14:paraId="7876156F"/>
    <w:p w14:paraId="65214579"/>
    <w:p w14:paraId="4873206D"/>
    <w:p w14:paraId="03AFDDE7"/>
    <w:p w14:paraId="0CE09467"/>
    <w:p w14:paraId="1EA9F0B6"/>
    <w:p w14:paraId="78843FEB">
      <w:r>
        <w:br w:type="page"/>
      </w:r>
    </w:p>
    <w:p w14:paraId="0495175B">
      <w:pPr>
        <w:pStyle w:val="2"/>
        <w:spacing w:line="240" w:lineRule="auto"/>
        <w:rPr>
          <w:sz w:val="24"/>
          <w:szCs w:val="24"/>
        </w:rPr>
      </w:pPr>
      <w:r>
        <w:rPr>
          <w:rFonts w:hint="eastAsia"/>
          <w:sz w:val="24"/>
          <w:szCs w:val="24"/>
        </w:rPr>
        <w:t>第一节 重要提示</w:t>
      </w:r>
    </w:p>
    <w:p w14:paraId="66ADB0A2">
      <w:pPr>
        <w:pStyle w:val="3"/>
        <w:numPr>
          <w:ilvl w:val="0"/>
          <w:numId w:val="1"/>
        </w:numPr>
        <w:spacing w:before="0" w:after="0" w:line="480" w:lineRule="auto"/>
        <w:ind w:left="0" w:firstLine="0"/>
        <w:rPr>
          <w:rFonts w:ascii="Times New Roman" w:hAnsi="Times New Roman"/>
          <w:szCs w:val="22"/>
        </w:rPr>
      </w:pPr>
      <w:r>
        <w:rPr>
          <w:rFonts w:hint="eastAsia" w:ascii="Times New Roman" w:hAnsi="Times New Roman"/>
          <w:szCs w:val="22"/>
        </w:rPr>
        <w:t>本半年度报告摘要来自半年度报告全文，为全面了解本公司的经营成果、财务状况及未来发展规划，投资者应当到www.sse.com.cn网站仔细阅读半年度报告全文。</w:t>
      </w:r>
    </w:p>
    <w:p w14:paraId="01BAE95F">
      <w:pPr>
        <w:pStyle w:val="3"/>
        <w:numPr>
          <w:ilvl w:val="0"/>
          <w:numId w:val="1"/>
        </w:numPr>
        <w:spacing w:before="0" w:after="0" w:line="480" w:lineRule="auto"/>
        <w:ind w:left="0" w:firstLine="0"/>
        <w:rPr>
          <w:rFonts w:hint="eastAsia" w:ascii="宋体" w:hAns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本公司董事会及董事、高级管理人员保证</w:t>
      </w:r>
      <w:r>
        <w:rPr>
          <w:rFonts w:hint="eastAsia" w:ascii="宋体" w:hAnsi="宋体" w:cs="宋体"/>
          <w:color w:val="000000" w:themeColor="text1"/>
          <w14:textFill>
            <w14:solidFill>
              <w14:schemeClr w14:val="tx1"/>
            </w14:solidFill>
          </w14:textFill>
        </w:rPr>
        <w:t>半</w:t>
      </w:r>
      <w:r>
        <w:rPr>
          <w:rFonts w:ascii="宋体" w:hAnsi="宋体" w:cs="宋体"/>
          <w:color w:val="000000" w:themeColor="text1"/>
          <w14:textFill>
            <w14:solidFill>
              <w14:schemeClr w14:val="tx1"/>
            </w14:solidFill>
          </w14:textFill>
        </w:rPr>
        <w:t>年度报告内容的真实</w:t>
      </w:r>
      <w:r>
        <w:rPr>
          <w:rFonts w:hint="eastAsia" w:ascii="宋体" w:hAnsi="宋体" w:cs="宋体"/>
          <w:color w:val="000000" w:themeColor="text1"/>
          <w14:textFill>
            <w14:solidFill>
              <w14:schemeClr w14:val="tx1"/>
            </w14:solidFill>
          </w14:textFill>
        </w:rPr>
        <w:t>性</w:t>
      </w:r>
      <w:r>
        <w:rPr>
          <w:rFonts w:ascii="宋体" w:hAnsi="宋体" w:cs="宋体"/>
          <w:color w:val="000000" w:themeColor="text1"/>
          <w14:textFill>
            <w14:solidFill>
              <w14:schemeClr w14:val="tx1"/>
            </w14:solidFill>
          </w14:textFill>
        </w:rPr>
        <w:t>、准确</w:t>
      </w:r>
      <w:r>
        <w:rPr>
          <w:rFonts w:hint="eastAsia" w:ascii="宋体" w:hAnsi="宋体" w:cs="宋体"/>
          <w:color w:val="000000" w:themeColor="text1"/>
          <w14:textFill>
            <w14:solidFill>
              <w14:schemeClr w14:val="tx1"/>
            </w14:solidFill>
          </w14:textFill>
        </w:rPr>
        <w:t>性</w:t>
      </w:r>
      <w:r>
        <w:rPr>
          <w:rFonts w:ascii="宋体" w:hAnsi="宋体" w:cs="宋体"/>
          <w:color w:val="000000" w:themeColor="text1"/>
          <w14:textFill>
            <w14:solidFill>
              <w14:schemeClr w14:val="tx1"/>
            </w14:solidFill>
          </w14:textFill>
        </w:rPr>
        <w:t>、完整</w:t>
      </w:r>
      <w:r>
        <w:rPr>
          <w:rFonts w:hint="eastAsia" w:ascii="宋体" w:hAnsi="宋体" w:cs="宋体"/>
          <w:color w:val="000000" w:themeColor="text1"/>
          <w14:textFill>
            <w14:solidFill>
              <w14:schemeClr w14:val="tx1"/>
            </w14:solidFill>
          </w14:textFill>
        </w:rPr>
        <w:t>性</w:t>
      </w:r>
      <w:r>
        <w:rPr>
          <w:rFonts w:ascii="宋体" w:hAnsi="宋体" w:cs="宋体"/>
          <w:color w:val="000000" w:themeColor="text1"/>
          <w14:textFill>
            <w14:solidFill>
              <w14:schemeClr w14:val="tx1"/>
            </w14:solidFill>
          </w14:textFill>
        </w:rPr>
        <w:t>，不存在虚假记载、误导性陈述或重大遗漏，并承担个别和连带的法律责任。</w:t>
      </w:r>
    </w:p>
    <w:p w14:paraId="22305720">
      <w:pPr>
        <w:pStyle w:val="3"/>
        <w:numPr>
          <w:ilvl w:val="0"/>
          <w:numId w:val="1"/>
        </w:numPr>
        <w:spacing w:before="0" w:after="0" w:line="480" w:lineRule="auto"/>
        <w:ind w:left="0" w:firstLine="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公司全体董事出席董事会会议。</w:t>
      </w:r>
    </w:p>
    <w:p w14:paraId="7B3E6010">
      <w:pPr>
        <w:pStyle w:val="3"/>
        <w:numPr>
          <w:ilvl w:val="0"/>
          <w:numId w:val="1"/>
        </w:numPr>
        <w:spacing w:before="0" w:after="0" w:line="480" w:lineRule="auto"/>
        <w:ind w:left="0" w:firstLine="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本半年度报告未经审计。</w:t>
      </w:r>
    </w:p>
    <w:p w14:paraId="3A593E03">
      <w:pPr>
        <w:pStyle w:val="3"/>
        <w:numPr>
          <w:ilvl w:val="0"/>
          <w:numId w:val="1"/>
        </w:numPr>
        <w:spacing w:before="0" w:after="0" w:line="480" w:lineRule="auto"/>
        <w:ind w:left="0" w:firstLine="0"/>
        <w:rPr>
          <w:rFonts w:ascii="Times New Roman" w:hAnsi="Times New Roman"/>
          <w:szCs w:val="22"/>
        </w:rPr>
      </w:pPr>
      <w:r>
        <w:rPr>
          <w:rFonts w:hint="eastAsia" w:ascii="Times New Roman" w:hAnsi="Times New Roman"/>
          <w:szCs w:val="22"/>
        </w:rPr>
        <w:t>董事会</w:t>
      </w:r>
      <w:r>
        <w:rPr>
          <w:rFonts w:ascii="Times New Roman" w:hAnsi="Times New Roman"/>
        </w:rPr>
        <w:t>决议通过的本报告期利润分配预案或公积金转增股本预案</w:t>
      </w:r>
    </w:p>
    <w:p w14:paraId="2C188FCD">
      <w:pPr>
        <w:kinsoku w:val="0"/>
        <w:overflowPunct w:val="0"/>
        <w:autoSpaceDE w:val="0"/>
        <w:autoSpaceDN w:val="0"/>
        <w:adjustRightInd w:val="0"/>
        <w:snapToGrid w:val="0"/>
        <w:spacing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无</w:t>
      </w:r>
    </w:p>
    <w:p w14:paraId="5B55FAF4">
      <w:pPr>
        <w:pStyle w:val="2"/>
        <w:spacing w:line="240" w:lineRule="auto"/>
        <w:rPr>
          <w:sz w:val="24"/>
          <w:szCs w:val="24"/>
        </w:rPr>
      </w:pPr>
      <w:r>
        <w:rPr>
          <w:rFonts w:hint="eastAsia"/>
          <w:sz w:val="24"/>
          <w:szCs w:val="24"/>
        </w:rPr>
        <w:t>第二节 公司基本情况</w:t>
      </w:r>
    </w:p>
    <w:p w14:paraId="0C894759">
      <w:pPr>
        <w:pStyle w:val="3"/>
        <w:numPr>
          <w:ilvl w:val="0"/>
          <w:numId w:val="2"/>
        </w:numPr>
        <w:spacing w:before="0" w:after="0" w:line="360" w:lineRule="auto"/>
        <w:ind w:left="0" w:firstLine="0"/>
        <w:rPr>
          <w:rFonts w:ascii="Times New Roman" w:hAnsi="Times New Roman"/>
          <w:color w:val="FF0000"/>
          <w:u w:val="single"/>
        </w:rPr>
      </w:pPr>
      <w:r>
        <w:rPr>
          <w:rFonts w:hint="eastAsia" w:ascii="Times New Roman" w:hAnsi="Times New Roman"/>
        </w:rPr>
        <w:t>公司简介</w:t>
      </w:r>
    </w:p>
    <w:tbl>
      <w:tblPr>
        <w:tblStyle w:val="22"/>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30" w:type="dxa"/>
          <w:bottom w:w="0" w:type="dxa"/>
          <w:right w:w="30" w:type="dxa"/>
        </w:tblCellMar>
      </w:tblPr>
      <w:tblGrid>
        <w:gridCol w:w="1022"/>
        <w:gridCol w:w="1700"/>
        <w:gridCol w:w="991"/>
        <w:gridCol w:w="1138"/>
        <w:gridCol w:w="4041"/>
      </w:tblGrid>
      <w:tr w14:paraId="7BE2D2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0" w:type="dxa"/>
            <w:bottom w:w="0" w:type="dxa"/>
            <w:right w:w="30" w:type="dxa"/>
          </w:tblCellMar>
        </w:tblPrEx>
        <w:trPr>
          <w:trHeight w:val="293" w:hRule="atLeast"/>
        </w:trPr>
        <w:tc>
          <w:tcPr>
            <w:tcW w:w="5000" w:type="pct"/>
            <w:gridSpan w:val="5"/>
            <w:tcBorders>
              <w:top w:val="single" w:color="auto" w:sz="4" w:space="0"/>
              <w:bottom w:val="single" w:color="auto" w:sz="4" w:space="0"/>
            </w:tcBorders>
          </w:tcPr>
          <w:p w14:paraId="0982D99B">
            <w:pPr>
              <w:kinsoku w:val="0"/>
              <w:overflowPunct w:val="0"/>
              <w:autoSpaceDE w:val="0"/>
              <w:autoSpaceDN w:val="0"/>
              <w:adjustRightInd w:val="0"/>
              <w:snapToGrid w:val="0"/>
              <w:jc w:val="center"/>
              <w:rPr>
                <w:szCs w:val="21"/>
              </w:rPr>
            </w:pPr>
            <w:r>
              <w:rPr>
                <w:rFonts w:hint="eastAsia"/>
                <w:szCs w:val="21"/>
              </w:rPr>
              <w:t>公司股票简况</w:t>
            </w:r>
          </w:p>
        </w:tc>
      </w:tr>
      <w:tr w14:paraId="5A6395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0" w:type="dxa"/>
            <w:bottom w:w="0" w:type="dxa"/>
            <w:right w:w="30" w:type="dxa"/>
          </w:tblCellMar>
        </w:tblPrEx>
        <w:trPr>
          <w:trHeight w:val="293" w:hRule="atLeast"/>
        </w:trPr>
        <w:tc>
          <w:tcPr>
            <w:tcW w:w="575" w:type="pct"/>
            <w:tcBorders>
              <w:top w:val="single" w:color="auto" w:sz="4" w:space="0"/>
              <w:bottom w:val="single" w:color="auto" w:sz="4" w:space="0"/>
              <w:right w:val="single" w:color="auto" w:sz="4" w:space="0"/>
            </w:tcBorders>
          </w:tcPr>
          <w:p w14:paraId="47B5EF67">
            <w:pPr>
              <w:kinsoku w:val="0"/>
              <w:overflowPunct w:val="0"/>
              <w:autoSpaceDE w:val="0"/>
              <w:autoSpaceDN w:val="0"/>
              <w:adjustRightInd w:val="0"/>
              <w:snapToGrid w:val="0"/>
              <w:jc w:val="center"/>
              <w:rPr>
                <w:szCs w:val="21"/>
              </w:rPr>
            </w:pPr>
            <w:r>
              <w:rPr>
                <w:rFonts w:hint="eastAsia"/>
                <w:szCs w:val="21"/>
              </w:rPr>
              <w:t>股票种类</w:t>
            </w:r>
          </w:p>
        </w:tc>
        <w:tc>
          <w:tcPr>
            <w:tcW w:w="956" w:type="pct"/>
            <w:tcBorders>
              <w:top w:val="single" w:color="auto" w:sz="4" w:space="0"/>
              <w:left w:val="single" w:color="auto" w:sz="4" w:space="0"/>
              <w:bottom w:val="single" w:color="auto" w:sz="4" w:space="0"/>
              <w:right w:val="single" w:color="auto" w:sz="4" w:space="0"/>
            </w:tcBorders>
          </w:tcPr>
          <w:p w14:paraId="29AE28B2">
            <w:pPr>
              <w:kinsoku w:val="0"/>
              <w:overflowPunct w:val="0"/>
              <w:autoSpaceDE w:val="0"/>
              <w:autoSpaceDN w:val="0"/>
              <w:adjustRightInd w:val="0"/>
              <w:snapToGrid w:val="0"/>
              <w:jc w:val="center"/>
              <w:rPr>
                <w:szCs w:val="21"/>
              </w:rPr>
            </w:pPr>
            <w:r>
              <w:rPr>
                <w:rFonts w:hint="eastAsia"/>
                <w:szCs w:val="21"/>
              </w:rPr>
              <w:t>股票上市交易所</w:t>
            </w:r>
          </w:p>
        </w:tc>
        <w:tc>
          <w:tcPr>
            <w:tcW w:w="557" w:type="pct"/>
            <w:tcBorders>
              <w:top w:val="single" w:color="auto" w:sz="4" w:space="0"/>
              <w:left w:val="single" w:color="auto" w:sz="4" w:space="0"/>
              <w:bottom w:val="single" w:color="auto" w:sz="4" w:space="0"/>
              <w:right w:val="single" w:color="auto" w:sz="4" w:space="0"/>
            </w:tcBorders>
          </w:tcPr>
          <w:p w14:paraId="195C0C2F">
            <w:pPr>
              <w:kinsoku w:val="0"/>
              <w:overflowPunct w:val="0"/>
              <w:autoSpaceDE w:val="0"/>
              <w:autoSpaceDN w:val="0"/>
              <w:adjustRightInd w:val="0"/>
              <w:snapToGrid w:val="0"/>
              <w:jc w:val="center"/>
              <w:rPr>
                <w:szCs w:val="21"/>
              </w:rPr>
            </w:pPr>
            <w:r>
              <w:rPr>
                <w:rFonts w:hint="eastAsia"/>
                <w:szCs w:val="21"/>
              </w:rPr>
              <w:t>股票简称</w:t>
            </w:r>
          </w:p>
        </w:tc>
        <w:tc>
          <w:tcPr>
            <w:tcW w:w="640" w:type="pct"/>
            <w:tcBorders>
              <w:top w:val="single" w:color="auto" w:sz="4" w:space="0"/>
              <w:left w:val="single" w:color="auto" w:sz="4" w:space="0"/>
              <w:bottom w:val="single" w:color="auto" w:sz="4" w:space="0"/>
              <w:right w:val="single" w:color="auto" w:sz="4" w:space="0"/>
            </w:tcBorders>
          </w:tcPr>
          <w:p w14:paraId="7B4C208A">
            <w:pPr>
              <w:kinsoku w:val="0"/>
              <w:overflowPunct w:val="0"/>
              <w:autoSpaceDE w:val="0"/>
              <w:autoSpaceDN w:val="0"/>
              <w:adjustRightInd w:val="0"/>
              <w:snapToGrid w:val="0"/>
              <w:jc w:val="center"/>
              <w:rPr>
                <w:szCs w:val="21"/>
              </w:rPr>
            </w:pPr>
            <w:r>
              <w:rPr>
                <w:rFonts w:hint="eastAsia"/>
                <w:szCs w:val="21"/>
              </w:rPr>
              <w:t>股票代码</w:t>
            </w:r>
          </w:p>
        </w:tc>
        <w:tc>
          <w:tcPr>
            <w:tcW w:w="2271" w:type="pct"/>
            <w:tcBorders>
              <w:top w:val="single" w:color="auto" w:sz="4" w:space="0"/>
              <w:left w:val="single" w:color="auto" w:sz="4" w:space="0"/>
              <w:bottom w:val="single" w:color="auto" w:sz="4" w:space="0"/>
            </w:tcBorders>
          </w:tcPr>
          <w:p w14:paraId="32895A8D">
            <w:pPr>
              <w:kinsoku w:val="0"/>
              <w:overflowPunct w:val="0"/>
              <w:autoSpaceDE w:val="0"/>
              <w:autoSpaceDN w:val="0"/>
              <w:adjustRightInd w:val="0"/>
              <w:snapToGrid w:val="0"/>
              <w:jc w:val="center"/>
              <w:rPr>
                <w:szCs w:val="21"/>
              </w:rPr>
            </w:pPr>
            <w:r>
              <w:rPr>
                <w:rFonts w:hint="eastAsia"/>
                <w:szCs w:val="21"/>
              </w:rPr>
              <w:t>变更前股票简称</w:t>
            </w:r>
          </w:p>
        </w:tc>
      </w:tr>
      <w:tr w14:paraId="1084BF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0" w:type="dxa"/>
            <w:bottom w:w="0" w:type="dxa"/>
            <w:right w:w="30" w:type="dxa"/>
          </w:tblCellMar>
        </w:tblPrEx>
        <w:trPr>
          <w:trHeight w:val="293" w:hRule="atLeast"/>
        </w:trPr>
        <w:tc>
          <w:tcPr>
            <w:tcW w:w="575" w:type="pct"/>
            <w:tcBorders>
              <w:top w:val="single" w:color="auto" w:sz="4" w:space="0"/>
              <w:bottom w:val="single" w:color="auto" w:sz="4" w:space="0"/>
              <w:right w:val="single" w:color="auto" w:sz="4" w:space="0"/>
            </w:tcBorders>
            <w:vAlign w:val="center"/>
          </w:tcPr>
          <w:p w14:paraId="397DB851">
            <w:pPr>
              <w:kinsoku w:val="0"/>
              <w:overflowPunct w:val="0"/>
              <w:autoSpaceDE w:val="0"/>
              <w:autoSpaceDN w:val="0"/>
              <w:adjustRightInd w:val="0"/>
              <w:snapToGrid w:val="0"/>
              <w:jc w:val="center"/>
              <w:rPr>
                <w:color w:val="FFC000"/>
                <w:szCs w:val="21"/>
              </w:rPr>
            </w:pPr>
            <w:r>
              <w:rPr>
                <w:rFonts w:hint="eastAsia"/>
                <w:szCs w:val="21"/>
              </w:rPr>
              <w:t>A股</w:t>
            </w:r>
          </w:p>
        </w:tc>
        <w:tc>
          <w:tcPr>
            <w:tcW w:w="956" w:type="pct"/>
            <w:tcBorders>
              <w:top w:val="single" w:color="auto" w:sz="4" w:space="0"/>
              <w:left w:val="single" w:color="auto" w:sz="4" w:space="0"/>
              <w:bottom w:val="single" w:color="auto" w:sz="4" w:space="0"/>
              <w:right w:val="single" w:color="auto" w:sz="4" w:space="0"/>
            </w:tcBorders>
            <w:vAlign w:val="center"/>
          </w:tcPr>
          <w:p w14:paraId="2714D81D">
            <w:pPr>
              <w:kinsoku w:val="0"/>
              <w:overflowPunct w:val="0"/>
              <w:autoSpaceDE w:val="0"/>
              <w:autoSpaceDN w:val="0"/>
              <w:adjustRightInd w:val="0"/>
              <w:snapToGrid w:val="0"/>
              <w:jc w:val="center"/>
              <w:rPr>
                <w:color w:val="FFC000"/>
                <w:szCs w:val="21"/>
              </w:rPr>
            </w:pPr>
            <w:r>
              <w:rPr>
                <w:rFonts w:hint="eastAsia"/>
                <w:szCs w:val="21"/>
              </w:rPr>
              <w:t>上海证券交易所</w:t>
            </w:r>
          </w:p>
        </w:tc>
        <w:tc>
          <w:tcPr>
            <w:tcW w:w="557" w:type="pct"/>
            <w:tcBorders>
              <w:top w:val="single" w:color="auto" w:sz="4" w:space="0"/>
              <w:left w:val="single" w:color="auto" w:sz="4" w:space="0"/>
              <w:bottom w:val="single" w:color="auto" w:sz="4" w:space="0"/>
              <w:right w:val="single" w:color="auto" w:sz="4" w:space="0"/>
            </w:tcBorders>
            <w:vAlign w:val="center"/>
          </w:tcPr>
          <w:p w14:paraId="65B39E75">
            <w:pPr>
              <w:kinsoku w:val="0"/>
              <w:overflowPunct w:val="0"/>
              <w:autoSpaceDE w:val="0"/>
              <w:autoSpaceDN w:val="0"/>
              <w:adjustRightInd w:val="0"/>
              <w:snapToGrid w:val="0"/>
              <w:jc w:val="center"/>
              <w:rPr>
                <w:color w:val="FFC000"/>
                <w:szCs w:val="21"/>
              </w:rPr>
            </w:pPr>
            <w:r>
              <w:rPr>
                <w:rFonts w:hint="eastAsia"/>
                <w:szCs w:val="21"/>
              </w:rPr>
              <w:t>海航科技</w:t>
            </w:r>
          </w:p>
        </w:tc>
        <w:tc>
          <w:tcPr>
            <w:tcW w:w="640" w:type="pct"/>
            <w:tcBorders>
              <w:top w:val="single" w:color="auto" w:sz="4" w:space="0"/>
              <w:left w:val="single" w:color="auto" w:sz="4" w:space="0"/>
              <w:bottom w:val="single" w:color="auto" w:sz="4" w:space="0"/>
              <w:right w:val="single" w:color="auto" w:sz="4" w:space="0"/>
            </w:tcBorders>
            <w:vAlign w:val="center"/>
          </w:tcPr>
          <w:p w14:paraId="36D2EB1C">
            <w:pPr>
              <w:kinsoku w:val="0"/>
              <w:overflowPunct w:val="0"/>
              <w:autoSpaceDE w:val="0"/>
              <w:autoSpaceDN w:val="0"/>
              <w:adjustRightInd w:val="0"/>
              <w:snapToGrid w:val="0"/>
              <w:jc w:val="center"/>
              <w:rPr>
                <w:color w:val="FFC000"/>
                <w:szCs w:val="21"/>
              </w:rPr>
            </w:pPr>
            <w:r>
              <w:rPr>
                <w:rFonts w:hint="eastAsia"/>
                <w:szCs w:val="21"/>
              </w:rPr>
              <w:t>600751</w:t>
            </w:r>
          </w:p>
        </w:tc>
        <w:tc>
          <w:tcPr>
            <w:tcW w:w="2271" w:type="pct"/>
            <w:tcBorders>
              <w:top w:val="single" w:color="auto" w:sz="4" w:space="0"/>
              <w:left w:val="single" w:color="auto" w:sz="4" w:space="0"/>
              <w:bottom w:val="single" w:color="auto" w:sz="4" w:space="0"/>
            </w:tcBorders>
            <w:vAlign w:val="center"/>
          </w:tcPr>
          <w:p w14:paraId="54926DA2">
            <w:pPr>
              <w:kinsoku w:val="0"/>
              <w:overflowPunct w:val="0"/>
              <w:autoSpaceDE w:val="0"/>
              <w:autoSpaceDN w:val="0"/>
              <w:adjustRightInd w:val="0"/>
              <w:snapToGrid w:val="0"/>
              <w:jc w:val="center"/>
              <w:rPr>
                <w:color w:val="FFC000"/>
                <w:szCs w:val="21"/>
              </w:rPr>
            </w:pPr>
            <w:r>
              <w:rPr>
                <w:rFonts w:hint="eastAsia"/>
                <w:szCs w:val="21"/>
              </w:rPr>
              <w:t>天海投资、天津海运、S*ST天海、SST天海、S天海、*ST天海、ST天海</w:t>
            </w:r>
          </w:p>
        </w:tc>
      </w:tr>
      <w:tr w14:paraId="46ADF2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0" w:type="dxa"/>
            <w:bottom w:w="0" w:type="dxa"/>
            <w:right w:w="30" w:type="dxa"/>
          </w:tblCellMar>
        </w:tblPrEx>
        <w:trPr>
          <w:trHeight w:val="293" w:hRule="atLeast"/>
        </w:trPr>
        <w:tc>
          <w:tcPr>
            <w:tcW w:w="575" w:type="pct"/>
            <w:tcBorders>
              <w:top w:val="single" w:color="auto" w:sz="4" w:space="0"/>
              <w:bottom w:val="single" w:color="auto" w:sz="4" w:space="0"/>
              <w:right w:val="single" w:color="auto" w:sz="4" w:space="0"/>
            </w:tcBorders>
            <w:vAlign w:val="center"/>
          </w:tcPr>
          <w:p w14:paraId="6FB9158F">
            <w:pPr>
              <w:kinsoku w:val="0"/>
              <w:overflowPunct w:val="0"/>
              <w:autoSpaceDE w:val="0"/>
              <w:autoSpaceDN w:val="0"/>
              <w:adjustRightInd w:val="0"/>
              <w:snapToGrid w:val="0"/>
              <w:jc w:val="center"/>
              <w:rPr>
                <w:color w:val="FFC000"/>
                <w:szCs w:val="21"/>
              </w:rPr>
            </w:pPr>
            <w:r>
              <w:rPr>
                <w:rFonts w:hint="eastAsia"/>
                <w:szCs w:val="21"/>
              </w:rPr>
              <w:t>B股</w:t>
            </w:r>
          </w:p>
        </w:tc>
        <w:tc>
          <w:tcPr>
            <w:tcW w:w="956" w:type="pct"/>
            <w:tcBorders>
              <w:top w:val="single" w:color="auto" w:sz="4" w:space="0"/>
              <w:left w:val="single" w:color="auto" w:sz="4" w:space="0"/>
              <w:bottom w:val="single" w:color="auto" w:sz="4" w:space="0"/>
              <w:right w:val="single" w:color="auto" w:sz="4" w:space="0"/>
            </w:tcBorders>
            <w:vAlign w:val="center"/>
          </w:tcPr>
          <w:p w14:paraId="2A7CF23B">
            <w:pPr>
              <w:kinsoku w:val="0"/>
              <w:overflowPunct w:val="0"/>
              <w:autoSpaceDE w:val="0"/>
              <w:autoSpaceDN w:val="0"/>
              <w:adjustRightInd w:val="0"/>
              <w:snapToGrid w:val="0"/>
              <w:jc w:val="center"/>
              <w:rPr>
                <w:color w:val="FFC000"/>
                <w:szCs w:val="21"/>
              </w:rPr>
            </w:pPr>
            <w:r>
              <w:rPr>
                <w:rFonts w:hint="eastAsia"/>
                <w:szCs w:val="21"/>
              </w:rPr>
              <w:t>上海证券交易所</w:t>
            </w:r>
          </w:p>
        </w:tc>
        <w:tc>
          <w:tcPr>
            <w:tcW w:w="557" w:type="pct"/>
            <w:tcBorders>
              <w:top w:val="single" w:color="auto" w:sz="4" w:space="0"/>
              <w:left w:val="single" w:color="auto" w:sz="4" w:space="0"/>
              <w:bottom w:val="single" w:color="auto" w:sz="4" w:space="0"/>
              <w:right w:val="single" w:color="auto" w:sz="4" w:space="0"/>
            </w:tcBorders>
            <w:vAlign w:val="center"/>
          </w:tcPr>
          <w:p w14:paraId="16658ED6">
            <w:pPr>
              <w:kinsoku w:val="0"/>
              <w:overflowPunct w:val="0"/>
              <w:autoSpaceDE w:val="0"/>
              <w:autoSpaceDN w:val="0"/>
              <w:adjustRightInd w:val="0"/>
              <w:snapToGrid w:val="0"/>
              <w:jc w:val="center"/>
              <w:rPr>
                <w:color w:val="FFC000"/>
                <w:szCs w:val="21"/>
              </w:rPr>
            </w:pPr>
            <w:r>
              <w:rPr>
                <w:rFonts w:hint="eastAsia"/>
                <w:szCs w:val="21"/>
              </w:rPr>
              <w:t>海科B</w:t>
            </w:r>
          </w:p>
        </w:tc>
        <w:tc>
          <w:tcPr>
            <w:tcW w:w="640" w:type="pct"/>
            <w:tcBorders>
              <w:top w:val="single" w:color="auto" w:sz="4" w:space="0"/>
              <w:left w:val="single" w:color="auto" w:sz="4" w:space="0"/>
              <w:bottom w:val="single" w:color="auto" w:sz="4" w:space="0"/>
              <w:right w:val="single" w:color="auto" w:sz="4" w:space="0"/>
            </w:tcBorders>
            <w:vAlign w:val="center"/>
          </w:tcPr>
          <w:p w14:paraId="51257392">
            <w:pPr>
              <w:kinsoku w:val="0"/>
              <w:overflowPunct w:val="0"/>
              <w:autoSpaceDE w:val="0"/>
              <w:autoSpaceDN w:val="0"/>
              <w:adjustRightInd w:val="0"/>
              <w:snapToGrid w:val="0"/>
              <w:jc w:val="center"/>
              <w:rPr>
                <w:color w:val="FFC000"/>
                <w:szCs w:val="21"/>
              </w:rPr>
            </w:pPr>
            <w:r>
              <w:rPr>
                <w:rFonts w:hint="eastAsia"/>
                <w:szCs w:val="21"/>
              </w:rPr>
              <w:t>900938</w:t>
            </w:r>
          </w:p>
        </w:tc>
        <w:tc>
          <w:tcPr>
            <w:tcW w:w="2271" w:type="pct"/>
            <w:tcBorders>
              <w:top w:val="single" w:color="auto" w:sz="4" w:space="0"/>
              <w:left w:val="single" w:color="auto" w:sz="4" w:space="0"/>
              <w:bottom w:val="single" w:color="auto" w:sz="4" w:space="0"/>
            </w:tcBorders>
            <w:vAlign w:val="center"/>
          </w:tcPr>
          <w:p w14:paraId="24CF7AFD">
            <w:pPr>
              <w:kinsoku w:val="0"/>
              <w:overflowPunct w:val="0"/>
              <w:autoSpaceDE w:val="0"/>
              <w:autoSpaceDN w:val="0"/>
              <w:adjustRightInd w:val="0"/>
              <w:snapToGrid w:val="0"/>
              <w:jc w:val="center"/>
              <w:rPr>
                <w:color w:val="FFC000"/>
                <w:szCs w:val="21"/>
              </w:rPr>
            </w:pPr>
            <w:r>
              <w:rPr>
                <w:rFonts w:hint="eastAsia"/>
                <w:szCs w:val="21"/>
              </w:rPr>
              <w:t>天海B、*ST天海B、ST天海B</w:t>
            </w:r>
          </w:p>
        </w:tc>
      </w:tr>
    </w:tbl>
    <w:p w14:paraId="4FA94367"/>
    <w:tbl>
      <w:tblPr>
        <w:tblStyle w:val="23"/>
        <w:tblW w:w="494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9"/>
        <w:gridCol w:w="3018"/>
        <w:gridCol w:w="3012"/>
      </w:tblGrid>
      <w:tr w14:paraId="35773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pct"/>
          </w:tcPr>
          <w:p w14:paraId="2B8BA1C2">
            <w:pPr>
              <w:kinsoku w:val="0"/>
              <w:overflowPunct w:val="0"/>
              <w:autoSpaceDE w:val="0"/>
              <w:autoSpaceDN w:val="0"/>
              <w:adjustRightInd w:val="0"/>
              <w:snapToGrid w:val="0"/>
              <w:jc w:val="center"/>
              <w:rPr>
                <w:szCs w:val="21"/>
              </w:rPr>
            </w:pPr>
            <w:r>
              <w:rPr>
                <w:rFonts w:hint="eastAsia" w:cs="宋体"/>
                <w:szCs w:val="21"/>
              </w:rPr>
              <w:t>联系人和联系方式</w:t>
            </w:r>
          </w:p>
        </w:tc>
        <w:tc>
          <w:tcPr>
            <w:tcW w:w="1688" w:type="pct"/>
          </w:tcPr>
          <w:p w14:paraId="26C95310">
            <w:pPr>
              <w:kinsoku w:val="0"/>
              <w:overflowPunct w:val="0"/>
              <w:autoSpaceDE w:val="0"/>
              <w:autoSpaceDN w:val="0"/>
              <w:adjustRightInd w:val="0"/>
              <w:snapToGrid w:val="0"/>
              <w:jc w:val="center"/>
              <w:rPr>
                <w:szCs w:val="21"/>
              </w:rPr>
            </w:pPr>
            <w:r>
              <w:rPr>
                <w:rFonts w:hint="eastAsia" w:cs="宋体"/>
                <w:szCs w:val="21"/>
              </w:rPr>
              <w:t>董事会秘书</w:t>
            </w:r>
          </w:p>
        </w:tc>
        <w:tc>
          <w:tcPr>
            <w:tcW w:w="1685" w:type="pct"/>
          </w:tcPr>
          <w:p w14:paraId="14846083">
            <w:pPr>
              <w:kinsoku w:val="0"/>
              <w:overflowPunct w:val="0"/>
              <w:autoSpaceDE w:val="0"/>
              <w:autoSpaceDN w:val="0"/>
              <w:adjustRightInd w:val="0"/>
              <w:snapToGrid w:val="0"/>
              <w:jc w:val="center"/>
              <w:rPr>
                <w:szCs w:val="21"/>
              </w:rPr>
            </w:pPr>
            <w:r>
              <w:rPr>
                <w:rFonts w:hint="eastAsia" w:cs="宋体"/>
                <w:szCs w:val="21"/>
              </w:rPr>
              <w:t>证券事务代表</w:t>
            </w:r>
          </w:p>
        </w:tc>
      </w:tr>
      <w:tr w14:paraId="1312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pct"/>
          </w:tcPr>
          <w:p w14:paraId="389D85F6">
            <w:pPr>
              <w:kinsoku w:val="0"/>
              <w:overflowPunct w:val="0"/>
              <w:autoSpaceDE w:val="0"/>
              <w:autoSpaceDN w:val="0"/>
              <w:adjustRightInd w:val="0"/>
              <w:snapToGrid w:val="0"/>
              <w:jc w:val="center"/>
              <w:rPr>
                <w:szCs w:val="21"/>
              </w:rPr>
            </w:pPr>
            <w:r>
              <w:rPr>
                <w:rFonts w:hint="eastAsia" w:cs="宋体"/>
                <w:szCs w:val="21"/>
              </w:rPr>
              <w:t>姓名</w:t>
            </w:r>
          </w:p>
        </w:tc>
        <w:tc>
          <w:tcPr>
            <w:tcW w:w="1688" w:type="pct"/>
          </w:tcPr>
          <w:p w14:paraId="0E29043D">
            <w:pPr>
              <w:kinsoku w:val="0"/>
              <w:overflowPunct w:val="0"/>
              <w:autoSpaceDE w:val="0"/>
              <w:autoSpaceDN w:val="0"/>
              <w:adjustRightInd w:val="0"/>
              <w:snapToGrid w:val="0"/>
              <w:jc w:val="left"/>
              <w:rPr>
                <w:szCs w:val="21"/>
              </w:rPr>
            </w:pPr>
            <w:r>
              <w:rPr>
                <w:szCs w:val="21"/>
              </w:rPr>
              <w:t>闫宏刚</w:t>
            </w:r>
          </w:p>
        </w:tc>
        <w:tc>
          <w:tcPr>
            <w:tcW w:w="1685" w:type="pct"/>
          </w:tcPr>
          <w:p w14:paraId="569451C7">
            <w:pPr>
              <w:kinsoku w:val="0"/>
              <w:overflowPunct w:val="0"/>
              <w:autoSpaceDE w:val="0"/>
              <w:autoSpaceDN w:val="0"/>
              <w:adjustRightInd w:val="0"/>
              <w:snapToGrid w:val="0"/>
              <w:jc w:val="left"/>
              <w:rPr>
                <w:szCs w:val="21"/>
              </w:rPr>
            </w:pPr>
            <w:r>
              <w:rPr>
                <w:szCs w:val="21"/>
              </w:rPr>
              <w:t>雷石兵</w:t>
            </w:r>
          </w:p>
        </w:tc>
      </w:tr>
      <w:tr w14:paraId="68BD1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pct"/>
          </w:tcPr>
          <w:p w14:paraId="3C4631E4">
            <w:pPr>
              <w:kinsoku w:val="0"/>
              <w:overflowPunct w:val="0"/>
              <w:autoSpaceDE w:val="0"/>
              <w:autoSpaceDN w:val="0"/>
              <w:adjustRightInd w:val="0"/>
              <w:snapToGrid w:val="0"/>
              <w:jc w:val="center"/>
              <w:rPr>
                <w:szCs w:val="21"/>
              </w:rPr>
            </w:pPr>
            <w:r>
              <w:rPr>
                <w:rFonts w:hint="eastAsia"/>
                <w:szCs w:val="21"/>
              </w:rPr>
              <w:t>电话</w:t>
            </w:r>
          </w:p>
        </w:tc>
        <w:tc>
          <w:tcPr>
            <w:tcW w:w="1688" w:type="pct"/>
          </w:tcPr>
          <w:p w14:paraId="6BF4BE69">
            <w:pPr>
              <w:kinsoku w:val="0"/>
              <w:overflowPunct w:val="0"/>
              <w:autoSpaceDE w:val="0"/>
              <w:autoSpaceDN w:val="0"/>
              <w:adjustRightInd w:val="0"/>
              <w:snapToGrid w:val="0"/>
              <w:jc w:val="left"/>
              <w:rPr>
                <w:szCs w:val="21"/>
              </w:rPr>
            </w:pPr>
            <w:r>
              <w:rPr>
                <w:szCs w:val="21"/>
              </w:rPr>
              <w:t>022-23150588</w:t>
            </w:r>
          </w:p>
        </w:tc>
        <w:tc>
          <w:tcPr>
            <w:tcW w:w="1685" w:type="pct"/>
          </w:tcPr>
          <w:p w14:paraId="2739A008">
            <w:pPr>
              <w:kinsoku w:val="0"/>
              <w:overflowPunct w:val="0"/>
              <w:autoSpaceDE w:val="0"/>
              <w:autoSpaceDN w:val="0"/>
              <w:adjustRightInd w:val="0"/>
              <w:snapToGrid w:val="0"/>
              <w:jc w:val="left"/>
              <w:rPr>
                <w:szCs w:val="21"/>
              </w:rPr>
            </w:pPr>
            <w:r>
              <w:rPr>
                <w:szCs w:val="21"/>
              </w:rPr>
              <w:t>022-23150588</w:t>
            </w:r>
          </w:p>
        </w:tc>
      </w:tr>
      <w:tr w14:paraId="49B96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pct"/>
          </w:tcPr>
          <w:p w14:paraId="3A1A47B3">
            <w:pPr>
              <w:kinsoku w:val="0"/>
              <w:overflowPunct w:val="0"/>
              <w:autoSpaceDE w:val="0"/>
              <w:autoSpaceDN w:val="0"/>
              <w:adjustRightInd w:val="0"/>
              <w:snapToGrid w:val="0"/>
              <w:jc w:val="center"/>
              <w:rPr>
                <w:szCs w:val="21"/>
              </w:rPr>
            </w:pPr>
            <w:r>
              <w:rPr>
                <w:rFonts w:hint="eastAsia"/>
                <w:szCs w:val="21"/>
              </w:rPr>
              <w:t>办公地址</w:t>
            </w:r>
          </w:p>
        </w:tc>
        <w:tc>
          <w:tcPr>
            <w:tcW w:w="1688" w:type="pct"/>
          </w:tcPr>
          <w:p w14:paraId="1D3D7C5D">
            <w:pPr>
              <w:kinsoku w:val="0"/>
              <w:overflowPunct w:val="0"/>
              <w:autoSpaceDE w:val="0"/>
              <w:autoSpaceDN w:val="0"/>
              <w:adjustRightInd w:val="0"/>
              <w:snapToGrid w:val="0"/>
              <w:jc w:val="left"/>
              <w:rPr>
                <w:szCs w:val="21"/>
              </w:rPr>
            </w:pPr>
            <w:r>
              <w:rPr>
                <w:szCs w:val="21"/>
              </w:rPr>
              <w:t>天津市和平区重庆道143号</w:t>
            </w:r>
          </w:p>
        </w:tc>
        <w:tc>
          <w:tcPr>
            <w:tcW w:w="1685" w:type="pct"/>
          </w:tcPr>
          <w:p w14:paraId="5AD8C98F">
            <w:pPr>
              <w:kinsoku w:val="0"/>
              <w:overflowPunct w:val="0"/>
              <w:autoSpaceDE w:val="0"/>
              <w:autoSpaceDN w:val="0"/>
              <w:adjustRightInd w:val="0"/>
              <w:snapToGrid w:val="0"/>
              <w:jc w:val="left"/>
              <w:rPr>
                <w:szCs w:val="21"/>
              </w:rPr>
            </w:pPr>
            <w:r>
              <w:rPr>
                <w:szCs w:val="21"/>
              </w:rPr>
              <w:t>天津市和平区重庆道143号</w:t>
            </w:r>
          </w:p>
        </w:tc>
      </w:tr>
      <w:tr w14:paraId="7F6B2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pct"/>
          </w:tcPr>
          <w:p w14:paraId="67E2CF1A">
            <w:pPr>
              <w:kinsoku w:val="0"/>
              <w:overflowPunct w:val="0"/>
              <w:autoSpaceDE w:val="0"/>
              <w:autoSpaceDN w:val="0"/>
              <w:adjustRightInd w:val="0"/>
              <w:snapToGrid w:val="0"/>
              <w:jc w:val="center"/>
              <w:rPr>
                <w:szCs w:val="21"/>
              </w:rPr>
            </w:pPr>
            <w:r>
              <w:rPr>
                <w:rFonts w:hint="eastAsia"/>
                <w:szCs w:val="21"/>
              </w:rPr>
              <w:t>电子信箱</w:t>
            </w:r>
          </w:p>
        </w:tc>
        <w:tc>
          <w:tcPr>
            <w:tcW w:w="1688" w:type="pct"/>
          </w:tcPr>
          <w:p w14:paraId="032FF715">
            <w:pPr>
              <w:kinsoku w:val="0"/>
              <w:overflowPunct w:val="0"/>
              <w:autoSpaceDE w:val="0"/>
              <w:autoSpaceDN w:val="0"/>
              <w:adjustRightInd w:val="0"/>
              <w:snapToGrid w:val="0"/>
              <w:jc w:val="left"/>
              <w:rPr>
                <w:szCs w:val="21"/>
              </w:rPr>
            </w:pPr>
            <w:r>
              <w:rPr>
                <w:szCs w:val="21"/>
              </w:rPr>
              <w:t>600751@hnatech.com</w:t>
            </w:r>
          </w:p>
        </w:tc>
        <w:tc>
          <w:tcPr>
            <w:tcW w:w="1685" w:type="pct"/>
          </w:tcPr>
          <w:p w14:paraId="6226A3EA">
            <w:pPr>
              <w:kinsoku w:val="0"/>
              <w:overflowPunct w:val="0"/>
              <w:autoSpaceDE w:val="0"/>
              <w:autoSpaceDN w:val="0"/>
              <w:adjustRightInd w:val="0"/>
              <w:snapToGrid w:val="0"/>
              <w:jc w:val="left"/>
              <w:rPr>
                <w:szCs w:val="21"/>
              </w:rPr>
            </w:pPr>
            <w:r>
              <w:rPr>
                <w:szCs w:val="21"/>
              </w:rPr>
              <w:t>600751@hnatech.com</w:t>
            </w:r>
          </w:p>
        </w:tc>
      </w:tr>
    </w:tbl>
    <w:p w14:paraId="4CA52301">
      <w:pPr>
        <w:kinsoku w:val="0"/>
        <w:overflowPunct w:val="0"/>
        <w:autoSpaceDE w:val="0"/>
        <w:autoSpaceDN w:val="0"/>
        <w:adjustRightInd w:val="0"/>
        <w:snapToGrid w:val="0"/>
        <w:rPr>
          <w:szCs w:val="21"/>
        </w:rPr>
      </w:pPr>
    </w:p>
    <w:p w14:paraId="763CCB48">
      <w:pPr>
        <w:pStyle w:val="3"/>
        <w:numPr>
          <w:ilvl w:val="0"/>
          <w:numId w:val="2"/>
        </w:numPr>
        <w:spacing w:before="0" w:after="0" w:line="360" w:lineRule="auto"/>
        <w:ind w:left="0" w:firstLine="0"/>
        <w:rPr>
          <w:rFonts w:ascii="Times New Roman" w:hAnsi="Times New Roman"/>
        </w:rPr>
      </w:pPr>
      <w:r>
        <w:rPr>
          <w:rFonts w:hint="eastAsia" w:ascii="Times New Roman" w:hAnsi="Times New Roman"/>
        </w:rPr>
        <w:t>主要财务数据</w:t>
      </w:r>
    </w:p>
    <w:p w14:paraId="63709E16">
      <w:pPr>
        <w:jc w:val="right"/>
        <w:rPr>
          <w:szCs w:val="21"/>
        </w:rPr>
      </w:pPr>
      <w:r>
        <w:rPr>
          <w:rFonts w:hint="eastAsia"/>
          <w:szCs w:val="21"/>
        </w:rPr>
        <w:t>单位：元  币种：人民币</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1"/>
        <w:gridCol w:w="1985"/>
        <w:gridCol w:w="1703"/>
        <w:gridCol w:w="1849"/>
      </w:tblGrid>
      <w:tr w14:paraId="2BC2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pct"/>
            <w:vAlign w:val="center"/>
          </w:tcPr>
          <w:p w14:paraId="055FD259">
            <w:pPr>
              <w:kinsoku w:val="0"/>
              <w:overflowPunct w:val="0"/>
              <w:autoSpaceDE w:val="0"/>
              <w:autoSpaceDN w:val="0"/>
              <w:adjustRightInd w:val="0"/>
              <w:snapToGrid w:val="0"/>
              <w:jc w:val="center"/>
              <w:rPr>
                <w:szCs w:val="21"/>
              </w:rPr>
            </w:pPr>
          </w:p>
        </w:tc>
        <w:tc>
          <w:tcPr>
            <w:tcW w:w="1097" w:type="pct"/>
            <w:vAlign w:val="center"/>
          </w:tcPr>
          <w:p w14:paraId="481550CF">
            <w:pPr>
              <w:kinsoku w:val="0"/>
              <w:overflowPunct w:val="0"/>
              <w:autoSpaceDE w:val="0"/>
              <w:autoSpaceDN w:val="0"/>
              <w:adjustRightInd w:val="0"/>
              <w:snapToGrid w:val="0"/>
              <w:jc w:val="center"/>
              <w:rPr>
                <w:szCs w:val="21"/>
              </w:rPr>
            </w:pPr>
            <w:r>
              <w:t>本报告期末</w:t>
            </w:r>
          </w:p>
        </w:tc>
        <w:tc>
          <w:tcPr>
            <w:tcW w:w="941" w:type="pct"/>
            <w:vAlign w:val="center"/>
          </w:tcPr>
          <w:p w14:paraId="74CA030B">
            <w:pPr>
              <w:kinsoku w:val="0"/>
              <w:overflowPunct w:val="0"/>
              <w:autoSpaceDE w:val="0"/>
              <w:autoSpaceDN w:val="0"/>
              <w:adjustRightInd w:val="0"/>
              <w:snapToGrid w:val="0"/>
              <w:jc w:val="center"/>
              <w:rPr>
                <w:szCs w:val="21"/>
              </w:rPr>
            </w:pPr>
            <w:r>
              <w:t>上年度末</w:t>
            </w:r>
          </w:p>
        </w:tc>
        <w:tc>
          <w:tcPr>
            <w:tcW w:w="1022" w:type="pct"/>
            <w:vAlign w:val="center"/>
          </w:tcPr>
          <w:p w14:paraId="04E3A1C7">
            <w:pPr>
              <w:kinsoku w:val="0"/>
              <w:overflowPunct w:val="0"/>
              <w:autoSpaceDE w:val="0"/>
              <w:autoSpaceDN w:val="0"/>
              <w:adjustRightInd w:val="0"/>
              <w:snapToGrid w:val="0"/>
              <w:jc w:val="center"/>
              <w:rPr>
                <w:szCs w:val="21"/>
              </w:rPr>
            </w:pPr>
            <w:r>
              <w:t>本报告期末比上年度末增减(%)</w:t>
            </w:r>
          </w:p>
        </w:tc>
      </w:tr>
      <w:tr w14:paraId="70047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pct"/>
            <w:vAlign w:val="center"/>
          </w:tcPr>
          <w:p w14:paraId="4EB73CCE">
            <w:pPr>
              <w:kinsoku w:val="0"/>
              <w:overflowPunct w:val="0"/>
              <w:autoSpaceDE w:val="0"/>
              <w:autoSpaceDN w:val="0"/>
              <w:adjustRightInd w:val="0"/>
              <w:snapToGrid w:val="0"/>
              <w:rPr>
                <w:szCs w:val="21"/>
              </w:rPr>
            </w:pPr>
            <w:r>
              <w:rPr>
                <w:rFonts w:hint="eastAsia" w:cs="宋体"/>
                <w:szCs w:val="21"/>
              </w:rPr>
              <w:t>总资产</w:t>
            </w:r>
          </w:p>
        </w:tc>
        <w:tc>
          <w:tcPr>
            <w:tcW w:w="1097" w:type="pct"/>
            <w:vAlign w:val="center"/>
          </w:tcPr>
          <w:p w14:paraId="66A48546">
            <w:pPr>
              <w:kinsoku w:val="0"/>
              <w:overflowPunct w:val="0"/>
              <w:autoSpaceDE w:val="0"/>
              <w:autoSpaceDN w:val="0"/>
              <w:adjustRightInd w:val="0"/>
              <w:snapToGrid w:val="0"/>
              <w:jc w:val="right"/>
              <w:rPr>
                <w:szCs w:val="21"/>
              </w:rPr>
            </w:pPr>
            <w:r>
              <w:rPr>
                <w:szCs w:val="21"/>
              </w:rPr>
              <w:t>9,379,596,689.87</w:t>
            </w:r>
          </w:p>
        </w:tc>
        <w:tc>
          <w:tcPr>
            <w:tcW w:w="941" w:type="pct"/>
            <w:vAlign w:val="center"/>
          </w:tcPr>
          <w:p w14:paraId="5099B17C">
            <w:pPr>
              <w:kinsoku w:val="0"/>
              <w:overflowPunct w:val="0"/>
              <w:autoSpaceDE w:val="0"/>
              <w:autoSpaceDN w:val="0"/>
              <w:adjustRightInd w:val="0"/>
              <w:snapToGrid w:val="0"/>
              <w:jc w:val="right"/>
              <w:rPr>
                <w:szCs w:val="21"/>
              </w:rPr>
            </w:pPr>
            <w:r>
              <w:rPr>
                <w:szCs w:val="21"/>
              </w:rPr>
              <w:t>8,641,692,662.46</w:t>
            </w:r>
          </w:p>
        </w:tc>
        <w:tc>
          <w:tcPr>
            <w:tcW w:w="1022" w:type="pct"/>
            <w:vAlign w:val="center"/>
          </w:tcPr>
          <w:p w14:paraId="333AC0D5">
            <w:pPr>
              <w:kinsoku w:val="0"/>
              <w:overflowPunct w:val="0"/>
              <w:autoSpaceDE w:val="0"/>
              <w:autoSpaceDN w:val="0"/>
              <w:adjustRightInd w:val="0"/>
              <w:snapToGrid w:val="0"/>
              <w:jc w:val="right"/>
              <w:rPr>
                <w:szCs w:val="21"/>
              </w:rPr>
            </w:pPr>
            <w:r>
              <w:rPr>
                <w:szCs w:val="21"/>
              </w:rPr>
              <w:t>8.54</w:t>
            </w:r>
          </w:p>
        </w:tc>
      </w:tr>
      <w:tr w14:paraId="1313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pct"/>
            <w:vAlign w:val="center"/>
          </w:tcPr>
          <w:p w14:paraId="772CF5E3">
            <w:pPr>
              <w:kinsoku w:val="0"/>
              <w:overflowPunct w:val="0"/>
              <w:autoSpaceDE w:val="0"/>
              <w:autoSpaceDN w:val="0"/>
              <w:adjustRightInd w:val="0"/>
              <w:snapToGrid w:val="0"/>
              <w:rPr>
                <w:szCs w:val="21"/>
              </w:rPr>
            </w:pPr>
            <w:r>
              <w:rPr>
                <w:rFonts w:hint="eastAsia" w:cs="宋体"/>
                <w:szCs w:val="21"/>
              </w:rPr>
              <w:t>归属于上市公司股东的净资产</w:t>
            </w:r>
          </w:p>
        </w:tc>
        <w:tc>
          <w:tcPr>
            <w:tcW w:w="1097" w:type="pct"/>
            <w:vAlign w:val="center"/>
          </w:tcPr>
          <w:p w14:paraId="12E1EC7F">
            <w:pPr>
              <w:kinsoku w:val="0"/>
              <w:overflowPunct w:val="0"/>
              <w:autoSpaceDE w:val="0"/>
              <w:autoSpaceDN w:val="0"/>
              <w:adjustRightInd w:val="0"/>
              <w:snapToGrid w:val="0"/>
              <w:jc w:val="right"/>
              <w:rPr>
                <w:szCs w:val="21"/>
              </w:rPr>
            </w:pPr>
            <w:r>
              <w:rPr>
                <w:szCs w:val="21"/>
              </w:rPr>
              <w:t>7,559,797,543.35</w:t>
            </w:r>
          </w:p>
        </w:tc>
        <w:tc>
          <w:tcPr>
            <w:tcW w:w="941" w:type="pct"/>
            <w:vAlign w:val="center"/>
          </w:tcPr>
          <w:p w14:paraId="003A6E53">
            <w:pPr>
              <w:kinsoku w:val="0"/>
              <w:overflowPunct w:val="0"/>
              <w:autoSpaceDE w:val="0"/>
              <w:autoSpaceDN w:val="0"/>
              <w:adjustRightInd w:val="0"/>
              <w:snapToGrid w:val="0"/>
              <w:jc w:val="right"/>
              <w:rPr>
                <w:szCs w:val="21"/>
              </w:rPr>
            </w:pPr>
            <w:r>
              <w:rPr>
                <w:szCs w:val="21"/>
              </w:rPr>
              <w:t>7,492,476,280.99</w:t>
            </w:r>
          </w:p>
        </w:tc>
        <w:tc>
          <w:tcPr>
            <w:tcW w:w="1022" w:type="pct"/>
            <w:vAlign w:val="center"/>
          </w:tcPr>
          <w:p w14:paraId="5CA723BE">
            <w:pPr>
              <w:kinsoku w:val="0"/>
              <w:overflowPunct w:val="0"/>
              <w:autoSpaceDE w:val="0"/>
              <w:autoSpaceDN w:val="0"/>
              <w:adjustRightInd w:val="0"/>
              <w:snapToGrid w:val="0"/>
              <w:jc w:val="right"/>
              <w:rPr>
                <w:szCs w:val="21"/>
              </w:rPr>
            </w:pPr>
            <w:r>
              <w:rPr>
                <w:szCs w:val="21"/>
              </w:rPr>
              <w:t>0.90</w:t>
            </w:r>
          </w:p>
        </w:tc>
      </w:tr>
      <w:tr w14:paraId="00045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pct"/>
            <w:vAlign w:val="center"/>
          </w:tcPr>
          <w:p w14:paraId="5E346EE9">
            <w:pPr>
              <w:kinsoku w:val="0"/>
              <w:overflowPunct w:val="0"/>
              <w:autoSpaceDE w:val="0"/>
              <w:autoSpaceDN w:val="0"/>
              <w:adjustRightInd w:val="0"/>
              <w:snapToGrid w:val="0"/>
              <w:jc w:val="center"/>
              <w:rPr>
                <w:szCs w:val="21"/>
              </w:rPr>
            </w:pPr>
          </w:p>
        </w:tc>
        <w:tc>
          <w:tcPr>
            <w:tcW w:w="1097" w:type="pct"/>
            <w:vAlign w:val="center"/>
          </w:tcPr>
          <w:p w14:paraId="5050FFF6">
            <w:pPr>
              <w:kinsoku w:val="0"/>
              <w:overflowPunct w:val="0"/>
              <w:autoSpaceDE w:val="0"/>
              <w:autoSpaceDN w:val="0"/>
              <w:adjustRightInd w:val="0"/>
              <w:snapToGrid w:val="0"/>
              <w:jc w:val="center"/>
              <w:rPr>
                <w:szCs w:val="21"/>
              </w:rPr>
            </w:pPr>
            <w:r>
              <w:rPr>
                <w:rFonts w:hint="eastAsia"/>
                <w:szCs w:val="21"/>
              </w:rPr>
              <w:t>本报告期</w:t>
            </w:r>
          </w:p>
        </w:tc>
        <w:tc>
          <w:tcPr>
            <w:tcW w:w="941" w:type="pct"/>
            <w:vAlign w:val="center"/>
          </w:tcPr>
          <w:p w14:paraId="4E785A5B">
            <w:pPr>
              <w:kinsoku w:val="0"/>
              <w:overflowPunct w:val="0"/>
              <w:autoSpaceDE w:val="0"/>
              <w:autoSpaceDN w:val="0"/>
              <w:adjustRightInd w:val="0"/>
              <w:snapToGrid w:val="0"/>
              <w:jc w:val="center"/>
              <w:rPr>
                <w:szCs w:val="21"/>
              </w:rPr>
            </w:pPr>
            <w:r>
              <w:rPr>
                <w:rFonts w:hint="eastAsia"/>
                <w:szCs w:val="21"/>
              </w:rPr>
              <w:t>上年同期</w:t>
            </w:r>
          </w:p>
        </w:tc>
        <w:tc>
          <w:tcPr>
            <w:tcW w:w="1022" w:type="pct"/>
            <w:vAlign w:val="center"/>
          </w:tcPr>
          <w:p w14:paraId="7A2F34AA">
            <w:pPr>
              <w:kinsoku w:val="0"/>
              <w:overflowPunct w:val="0"/>
              <w:autoSpaceDE w:val="0"/>
              <w:autoSpaceDN w:val="0"/>
              <w:adjustRightInd w:val="0"/>
              <w:snapToGrid w:val="0"/>
              <w:jc w:val="center"/>
              <w:rPr>
                <w:szCs w:val="21"/>
              </w:rPr>
            </w:pPr>
            <w:r>
              <w:t>本报告期比上年同期增减(%)</w:t>
            </w:r>
          </w:p>
        </w:tc>
      </w:tr>
      <w:tr w14:paraId="52C8B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pct"/>
            <w:vAlign w:val="center"/>
          </w:tcPr>
          <w:p w14:paraId="4148071E">
            <w:pPr>
              <w:kinsoku w:val="0"/>
              <w:overflowPunct w:val="0"/>
              <w:autoSpaceDE w:val="0"/>
              <w:autoSpaceDN w:val="0"/>
              <w:adjustRightInd w:val="0"/>
              <w:snapToGrid w:val="0"/>
              <w:rPr>
                <w:szCs w:val="21"/>
              </w:rPr>
            </w:pPr>
            <w:r>
              <w:rPr>
                <w:rFonts w:hint="eastAsia" w:cs="宋体"/>
                <w:szCs w:val="21"/>
              </w:rPr>
              <w:t>营业收入</w:t>
            </w:r>
          </w:p>
        </w:tc>
        <w:tc>
          <w:tcPr>
            <w:tcW w:w="1097" w:type="pct"/>
            <w:vAlign w:val="center"/>
          </w:tcPr>
          <w:p w14:paraId="0345D595">
            <w:pPr>
              <w:kinsoku w:val="0"/>
              <w:overflowPunct w:val="0"/>
              <w:autoSpaceDE w:val="0"/>
              <w:autoSpaceDN w:val="0"/>
              <w:adjustRightInd w:val="0"/>
              <w:snapToGrid w:val="0"/>
              <w:jc w:val="right"/>
              <w:rPr>
                <w:szCs w:val="21"/>
              </w:rPr>
            </w:pPr>
            <w:r>
              <w:rPr>
                <w:szCs w:val="21"/>
              </w:rPr>
              <w:t>675,453,719.28</w:t>
            </w:r>
          </w:p>
        </w:tc>
        <w:tc>
          <w:tcPr>
            <w:tcW w:w="941" w:type="pct"/>
            <w:vAlign w:val="center"/>
          </w:tcPr>
          <w:p w14:paraId="291F61A3">
            <w:pPr>
              <w:kinsoku w:val="0"/>
              <w:overflowPunct w:val="0"/>
              <w:autoSpaceDE w:val="0"/>
              <w:autoSpaceDN w:val="0"/>
              <w:adjustRightInd w:val="0"/>
              <w:snapToGrid w:val="0"/>
              <w:jc w:val="right"/>
              <w:rPr>
                <w:szCs w:val="21"/>
              </w:rPr>
            </w:pPr>
            <w:r>
              <w:rPr>
                <w:szCs w:val="21"/>
              </w:rPr>
              <w:t>519,177,472.61</w:t>
            </w:r>
          </w:p>
        </w:tc>
        <w:tc>
          <w:tcPr>
            <w:tcW w:w="1022" w:type="pct"/>
            <w:vAlign w:val="center"/>
          </w:tcPr>
          <w:p w14:paraId="33F18003">
            <w:pPr>
              <w:kinsoku w:val="0"/>
              <w:overflowPunct w:val="0"/>
              <w:autoSpaceDE w:val="0"/>
              <w:autoSpaceDN w:val="0"/>
              <w:adjustRightInd w:val="0"/>
              <w:snapToGrid w:val="0"/>
              <w:jc w:val="right"/>
              <w:rPr>
                <w:szCs w:val="21"/>
              </w:rPr>
            </w:pPr>
            <w:r>
              <w:rPr>
                <w:szCs w:val="21"/>
              </w:rPr>
              <w:t>30.10</w:t>
            </w:r>
          </w:p>
        </w:tc>
      </w:tr>
      <w:tr w14:paraId="32A0E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pct"/>
            <w:vAlign w:val="center"/>
          </w:tcPr>
          <w:p w14:paraId="6EA8FB8B">
            <w:pPr>
              <w:kinsoku w:val="0"/>
              <w:overflowPunct w:val="0"/>
              <w:autoSpaceDE w:val="0"/>
              <w:autoSpaceDN w:val="0"/>
              <w:adjustRightInd w:val="0"/>
              <w:snapToGrid w:val="0"/>
            </w:pPr>
            <w:r>
              <w:rPr>
                <w:rFonts w:hint="eastAsia"/>
              </w:rPr>
              <w:t>利润总额</w:t>
            </w:r>
          </w:p>
        </w:tc>
        <w:tc>
          <w:tcPr>
            <w:tcW w:w="1097" w:type="pct"/>
            <w:vAlign w:val="center"/>
          </w:tcPr>
          <w:p w14:paraId="63C70126">
            <w:pPr>
              <w:kinsoku w:val="0"/>
              <w:overflowPunct w:val="0"/>
              <w:autoSpaceDE w:val="0"/>
              <w:autoSpaceDN w:val="0"/>
              <w:adjustRightInd w:val="0"/>
              <w:snapToGrid w:val="0"/>
              <w:jc w:val="right"/>
              <w:rPr>
                <w:szCs w:val="21"/>
              </w:rPr>
            </w:pPr>
            <w:r>
              <w:rPr>
                <w:szCs w:val="21"/>
              </w:rPr>
              <w:t>74,606,458.10</w:t>
            </w:r>
          </w:p>
        </w:tc>
        <w:tc>
          <w:tcPr>
            <w:tcW w:w="941" w:type="pct"/>
            <w:vAlign w:val="center"/>
          </w:tcPr>
          <w:p w14:paraId="6484002B">
            <w:pPr>
              <w:kinsoku w:val="0"/>
              <w:overflowPunct w:val="0"/>
              <w:autoSpaceDE w:val="0"/>
              <w:autoSpaceDN w:val="0"/>
              <w:adjustRightInd w:val="0"/>
              <w:snapToGrid w:val="0"/>
              <w:jc w:val="right"/>
              <w:rPr>
                <w:szCs w:val="21"/>
              </w:rPr>
            </w:pPr>
            <w:r>
              <w:rPr>
                <w:szCs w:val="21"/>
              </w:rPr>
              <w:t>94,798,483.19</w:t>
            </w:r>
          </w:p>
        </w:tc>
        <w:tc>
          <w:tcPr>
            <w:tcW w:w="1022" w:type="pct"/>
            <w:vAlign w:val="center"/>
          </w:tcPr>
          <w:p w14:paraId="37076B01">
            <w:pPr>
              <w:kinsoku w:val="0"/>
              <w:overflowPunct w:val="0"/>
              <w:autoSpaceDE w:val="0"/>
              <w:autoSpaceDN w:val="0"/>
              <w:adjustRightInd w:val="0"/>
              <w:snapToGrid w:val="0"/>
              <w:jc w:val="right"/>
              <w:rPr>
                <w:szCs w:val="21"/>
              </w:rPr>
            </w:pPr>
            <w:r>
              <w:rPr>
                <w:szCs w:val="21"/>
              </w:rPr>
              <w:t>-21.30</w:t>
            </w:r>
          </w:p>
        </w:tc>
      </w:tr>
      <w:tr w14:paraId="07826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pct"/>
            <w:vAlign w:val="center"/>
          </w:tcPr>
          <w:p w14:paraId="79FDB410">
            <w:pPr>
              <w:kinsoku w:val="0"/>
              <w:overflowPunct w:val="0"/>
              <w:autoSpaceDE w:val="0"/>
              <w:autoSpaceDN w:val="0"/>
              <w:adjustRightInd w:val="0"/>
              <w:snapToGrid w:val="0"/>
              <w:rPr>
                <w:szCs w:val="21"/>
              </w:rPr>
            </w:pPr>
            <w:r>
              <w:rPr>
                <w:rFonts w:hint="eastAsia" w:cs="宋体"/>
                <w:szCs w:val="21"/>
              </w:rPr>
              <w:t>归属于上市公司股东的净利润</w:t>
            </w:r>
          </w:p>
        </w:tc>
        <w:tc>
          <w:tcPr>
            <w:tcW w:w="1097" w:type="pct"/>
            <w:vAlign w:val="center"/>
          </w:tcPr>
          <w:p w14:paraId="14F1D15C">
            <w:pPr>
              <w:kinsoku w:val="0"/>
              <w:overflowPunct w:val="0"/>
              <w:autoSpaceDE w:val="0"/>
              <w:autoSpaceDN w:val="0"/>
              <w:adjustRightInd w:val="0"/>
              <w:snapToGrid w:val="0"/>
              <w:jc w:val="right"/>
              <w:rPr>
                <w:szCs w:val="21"/>
              </w:rPr>
            </w:pPr>
            <w:r>
              <w:rPr>
                <w:szCs w:val="21"/>
              </w:rPr>
              <w:t>71,495,736.63</w:t>
            </w:r>
          </w:p>
        </w:tc>
        <w:tc>
          <w:tcPr>
            <w:tcW w:w="941" w:type="pct"/>
            <w:vAlign w:val="center"/>
          </w:tcPr>
          <w:p w14:paraId="1BF98087">
            <w:pPr>
              <w:kinsoku w:val="0"/>
              <w:overflowPunct w:val="0"/>
              <w:autoSpaceDE w:val="0"/>
              <w:autoSpaceDN w:val="0"/>
              <w:adjustRightInd w:val="0"/>
              <w:snapToGrid w:val="0"/>
              <w:jc w:val="right"/>
              <w:rPr>
                <w:szCs w:val="21"/>
              </w:rPr>
            </w:pPr>
            <w:r>
              <w:rPr>
                <w:szCs w:val="21"/>
              </w:rPr>
              <w:t>93,940,878.38</w:t>
            </w:r>
          </w:p>
        </w:tc>
        <w:tc>
          <w:tcPr>
            <w:tcW w:w="1022" w:type="pct"/>
            <w:vAlign w:val="center"/>
          </w:tcPr>
          <w:p w14:paraId="4DC4872B">
            <w:pPr>
              <w:kinsoku w:val="0"/>
              <w:overflowPunct w:val="0"/>
              <w:autoSpaceDE w:val="0"/>
              <w:autoSpaceDN w:val="0"/>
              <w:adjustRightInd w:val="0"/>
              <w:snapToGrid w:val="0"/>
              <w:jc w:val="right"/>
              <w:rPr>
                <w:szCs w:val="21"/>
              </w:rPr>
            </w:pPr>
            <w:r>
              <w:rPr>
                <w:szCs w:val="21"/>
              </w:rPr>
              <w:t>-23.89</w:t>
            </w:r>
          </w:p>
        </w:tc>
      </w:tr>
      <w:tr w14:paraId="7291D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pct"/>
            <w:vAlign w:val="center"/>
          </w:tcPr>
          <w:p w14:paraId="31609A54">
            <w:pPr>
              <w:kinsoku w:val="0"/>
              <w:overflowPunct w:val="0"/>
              <w:autoSpaceDE w:val="0"/>
              <w:autoSpaceDN w:val="0"/>
              <w:adjustRightInd w:val="0"/>
              <w:snapToGrid w:val="0"/>
              <w:rPr>
                <w:szCs w:val="21"/>
              </w:rPr>
            </w:pPr>
            <w:r>
              <w:rPr>
                <w:rFonts w:hint="eastAsia" w:cs="宋体"/>
                <w:szCs w:val="21"/>
              </w:rPr>
              <w:t>归属于上市公司股东的扣除非经常性损益的净利润</w:t>
            </w:r>
          </w:p>
        </w:tc>
        <w:tc>
          <w:tcPr>
            <w:tcW w:w="1097" w:type="pct"/>
            <w:vAlign w:val="center"/>
          </w:tcPr>
          <w:p w14:paraId="620D5EE8">
            <w:pPr>
              <w:kinsoku w:val="0"/>
              <w:overflowPunct w:val="0"/>
              <w:autoSpaceDE w:val="0"/>
              <w:autoSpaceDN w:val="0"/>
              <w:adjustRightInd w:val="0"/>
              <w:snapToGrid w:val="0"/>
              <w:jc w:val="right"/>
              <w:rPr>
                <w:szCs w:val="21"/>
              </w:rPr>
            </w:pPr>
            <w:r>
              <w:rPr>
                <w:szCs w:val="21"/>
              </w:rPr>
              <w:t>54,209,284.40</w:t>
            </w:r>
          </w:p>
        </w:tc>
        <w:tc>
          <w:tcPr>
            <w:tcW w:w="941" w:type="pct"/>
            <w:vAlign w:val="center"/>
          </w:tcPr>
          <w:p w14:paraId="35FED4AE">
            <w:pPr>
              <w:kinsoku w:val="0"/>
              <w:overflowPunct w:val="0"/>
              <w:autoSpaceDE w:val="0"/>
              <w:autoSpaceDN w:val="0"/>
              <w:adjustRightInd w:val="0"/>
              <w:snapToGrid w:val="0"/>
              <w:jc w:val="right"/>
              <w:rPr>
                <w:szCs w:val="21"/>
              </w:rPr>
            </w:pPr>
            <w:r>
              <w:rPr>
                <w:szCs w:val="21"/>
              </w:rPr>
              <w:t>86,716,059.38</w:t>
            </w:r>
          </w:p>
        </w:tc>
        <w:tc>
          <w:tcPr>
            <w:tcW w:w="1022" w:type="pct"/>
            <w:vAlign w:val="center"/>
          </w:tcPr>
          <w:p w14:paraId="0C31EE5B">
            <w:pPr>
              <w:kinsoku w:val="0"/>
              <w:overflowPunct w:val="0"/>
              <w:autoSpaceDE w:val="0"/>
              <w:autoSpaceDN w:val="0"/>
              <w:adjustRightInd w:val="0"/>
              <w:snapToGrid w:val="0"/>
              <w:jc w:val="right"/>
              <w:rPr>
                <w:szCs w:val="21"/>
              </w:rPr>
            </w:pPr>
            <w:r>
              <w:rPr>
                <w:szCs w:val="21"/>
              </w:rPr>
              <w:t>-37.49</w:t>
            </w:r>
          </w:p>
        </w:tc>
      </w:tr>
      <w:tr w14:paraId="3CB0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pct"/>
            <w:vAlign w:val="center"/>
          </w:tcPr>
          <w:p w14:paraId="5FCD8504">
            <w:pPr>
              <w:kinsoku w:val="0"/>
              <w:overflowPunct w:val="0"/>
              <w:autoSpaceDE w:val="0"/>
              <w:autoSpaceDN w:val="0"/>
              <w:adjustRightInd w:val="0"/>
              <w:snapToGrid w:val="0"/>
              <w:rPr>
                <w:szCs w:val="21"/>
              </w:rPr>
            </w:pPr>
            <w:r>
              <w:rPr>
                <w:rFonts w:hint="eastAsia" w:cs="宋体"/>
                <w:szCs w:val="21"/>
              </w:rPr>
              <w:t>经营活动产生的现金流量净额</w:t>
            </w:r>
          </w:p>
        </w:tc>
        <w:tc>
          <w:tcPr>
            <w:tcW w:w="1097" w:type="pct"/>
            <w:vAlign w:val="center"/>
          </w:tcPr>
          <w:p w14:paraId="6A74D1A1">
            <w:pPr>
              <w:kinsoku w:val="0"/>
              <w:overflowPunct w:val="0"/>
              <w:autoSpaceDE w:val="0"/>
              <w:autoSpaceDN w:val="0"/>
              <w:adjustRightInd w:val="0"/>
              <w:snapToGrid w:val="0"/>
              <w:jc w:val="right"/>
              <w:rPr>
                <w:szCs w:val="21"/>
              </w:rPr>
            </w:pPr>
            <w:r>
              <w:rPr>
                <w:szCs w:val="21"/>
              </w:rPr>
              <w:t>-79,549,401.54</w:t>
            </w:r>
          </w:p>
        </w:tc>
        <w:tc>
          <w:tcPr>
            <w:tcW w:w="941" w:type="pct"/>
            <w:vAlign w:val="center"/>
          </w:tcPr>
          <w:p w14:paraId="1E9AEBE6">
            <w:pPr>
              <w:kinsoku w:val="0"/>
              <w:overflowPunct w:val="0"/>
              <w:autoSpaceDE w:val="0"/>
              <w:autoSpaceDN w:val="0"/>
              <w:adjustRightInd w:val="0"/>
              <w:snapToGrid w:val="0"/>
              <w:jc w:val="right"/>
              <w:rPr>
                <w:szCs w:val="21"/>
              </w:rPr>
            </w:pPr>
            <w:r>
              <w:rPr>
                <w:szCs w:val="21"/>
              </w:rPr>
              <w:t>116,173,042.22</w:t>
            </w:r>
          </w:p>
        </w:tc>
        <w:tc>
          <w:tcPr>
            <w:tcW w:w="1022" w:type="pct"/>
            <w:vAlign w:val="center"/>
          </w:tcPr>
          <w:p w14:paraId="3858AB4D">
            <w:pPr>
              <w:kinsoku w:val="0"/>
              <w:overflowPunct w:val="0"/>
              <w:autoSpaceDE w:val="0"/>
              <w:autoSpaceDN w:val="0"/>
              <w:adjustRightInd w:val="0"/>
              <w:snapToGrid w:val="0"/>
              <w:jc w:val="right"/>
              <w:rPr>
                <w:szCs w:val="21"/>
              </w:rPr>
            </w:pPr>
            <w:r>
              <w:rPr>
                <w:szCs w:val="21"/>
              </w:rPr>
              <w:t>-168.47</w:t>
            </w:r>
          </w:p>
        </w:tc>
      </w:tr>
      <w:tr w14:paraId="2AC7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pct"/>
            <w:vAlign w:val="center"/>
          </w:tcPr>
          <w:p w14:paraId="57587C9C">
            <w:pPr>
              <w:kinsoku w:val="0"/>
              <w:overflowPunct w:val="0"/>
              <w:autoSpaceDE w:val="0"/>
              <w:autoSpaceDN w:val="0"/>
              <w:adjustRightInd w:val="0"/>
              <w:snapToGrid w:val="0"/>
              <w:rPr>
                <w:szCs w:val="21"/>
              </w:rPr>
            </w:pPr>
            <w:r>
              <w:rPr>
                <w:rFonts w:hint="eastAsia" w:cs="宋体"/>
                <w:szCs w:val="21"/>
              </w:rPr>
              <w:t>加权平均净资产收益率（</w:t>
            </w:r>
            <w:r>
              <w:rPr>
                <w:rFonts w:cs="宋体"/>
                <w:szCs w:val="21"/>
              </w:rPr>
              <w:t>%</w:t>
            </w:r>
            <w:r>
              <w:rPr>
                <w:rFonts w:hint="eastAsia" w:cs="宋体"/>
                <w:szCs w:val="21"/>
              </w:rPr>
              <w:t>）</w:t>
            </w:r>
          </w:p>
        </w:tc>
        <w:tc>
          <w:tcPr>
            <w:tcW w:w="1097" w:type="pct"/>
            <w:vAlign w:val="center"/>
          </w:tcPr>
          <w:p w14:paraId="78B147C8">
            <w:pPr>
              <w:kinsoku w:val="0"/>
              <w:overflowPunct w:val="0"/>
              <w:autoSpaceDE w:val="0"/>
              <w:autoSpaceDN w:val="0"/>
              <w:adjustRightInd w:val="0"/>
              <w:snapToGrid w:val="0"/>
              <w:jc w:val="right"/>
              <w:rPr>
                <w:szCs w:val="21"/>
              </w:rPr>
            </w:pPr>
            <w:r>
              <w:rPr>
                <w:szCs w:val="21"/>
              </w:rPr>
              <w:t>0.94</w:t>
            </w:r>
          </w:p>
        </w:tc>
        <w:tc>
          <w:tcPr>
            <w:tcW w:w="941" w:type="pct"/>
            <w:vAlign w:val="center"/>
          </w:tcPr>
          <w:p w14:paraId="441BBF10">
            <w:pPr>
              <w:kinsoku w:val="0"/>
              <w:overflowPunct w:val="0"/>
              <w:autoSpaceDE w:val="0"/>
              <w:autoSpaceDN w:val="0"/>
              <w:adjustRightInd w:val="0"/>
              <w:snapToGrid w:val="0"/>
              <w:jc w:val="right"/>
              <w:rPr>
                <w:szCs w:val="21"/>
              </w:rPr>
            </w:pPr>
            <w:r>
              <w:rPr>
                <w:szCs w:val="21"/>
              </w:rPr>
              <w:t>1.27</w:t>
            </w:r>
          </w:p>
        </w:tc>
        <w:tc>
          <w:tcPr>
            <w:tcW w:w="1022" w:type="pct"/>
            <w:vAlign w:val="center"/>
          </w:tcPr>
          <w:p w14:paraId="777DA8F1">
            <w:pPr>
              <w:kinsoku w:val="0"/>
              <w:overflowPunct w:val="0"/>
              <w:autoSpaceDE w:val="0"/>
              <w:autoSpaceDN w:val="0"/>
              <w:adjustRightInd w:val="0"/>
              <w:snapToGrid w:val="0"/>
              <w:jc w:val="right"/>
              <w:rPr>
                <w:szCs w:val="21"/>
              </w:rPr>
            </w:pPr>
            <w:r>
              <w:rPr>
                <w:szCs w:val="21"/>
              </w:rPr>
              <w:t>减少0.33个百分点</w:t>
            </w:r>
          </w:p>
        </w:tc>
      </w:tr>
      <w:tr w14:paraId="70135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pct"/>
            <w:vAlign w:val="center"/>
          </w:tcPr>
          <w:p w14:paraId="35424BF6">
            <w:pPr>
              <w:kinsoku w:val="0"/>
              <w:overflowPunct w:val="0"/>
              <w:autoSpaceDE w:val="0"/>
              <w:autoSpaceDN w:val="0"/>
              <w:adjustRightInd w:val="0"/>
              <w:snapToGrid w:val="0"/>
              <w:rPr>
                <w:szCs w:val="21"/>
              </w:rPr>
            </w:pPr>
            <w:r>
              <w:rPr>
                <w:rFonts w:hint="eastAsia" w:cs="宋体"/>
                <w:szCs w:val="21"/>
              </w:rPr>
              <w:t>基本每股收益（元／股）</w:t>
            </w:r>
          </w:p>
        </w:tc>
        <w:tc>
          <w:tcPr>
            <w:tcW w:w="1097" w:type="pct"/>
            <w:vAlign w:val="center"/>
          </w:tcPr>
          <w:p w14:paraId="4B68F1A3">
            <w:pPr>
              <w:kinsoku w:val="0"/>
              <w:overflowPunct w:val="0"/>
              <w:autoSpaceDE w:val="0"/>
              <w:autoSpaceDN w:val="0"/>
              <w:adjustRightInd w:val="0"/>
              <w:snapToGrid w:val="0"/>
              <w:jc w:val="right"/>
              <w:rPr>
                <w:szCs w:val="21"/>
              </w:rPr>
            </w:pPr>
            <w:r>
              <w:rPr>
                <w:szCs w:val="21"/>
              </w:rPr>
              <w:t>0.0247</w:t>
            </w:r>
          </w:p>
        </w:tc>
        <w:tc>
          <w:tcPr>
            <w:tcW w:w="941" w:type="pct"/>
            <w:vAlign w:val="center"/>
          </w:tcPr>
          <w:p w14:paraId="140AC8D1">
            <w:pPr>
              <w:kinsoku w:val="0"/>
              <w:overflowPunct w:val="0"/>
              <w:autoSpaceDE w:val="0"/>
              <w:autoSpaceDN w:val="0"/>
              <w:adjustRightInd w:val="0"/>
              <w:snapToGrid w:val="0"/>
              <w:jc w:val="right"/>
              <w:rPr>
                <w:szCs w:val="21"/>
              </w:rPr>
            </w:pPr>
            <w:r>
              <w:rPr>
                <w:szCs w:val="21"/>
              </w:rPr>
              <w:t>0.0324</w:t>
            </w:r>
          </w:p>
        </w:tc>
        <w:tc>
          <w:tcPr>
            <w:tcW w:w="1022" w:type="pct"/>
            <w:vAlign w:val="center"/>
          </w:tcPr>
          <w:p w14:paraId="7CC6C227">
            <w:pPr>
              <w:kinsoku w:val="0"/>
              <w:overflowPunct w:val="0"/>
              <w:autoSpaceDE w:val="0"/>
              <w:autoSpaceDN w:val="0"/>
              <w:adjustRightInd w:val="0"/>
              <w:snapToGrid w:val="0"/>
              <w:jc w:val="right"/>
              <w:rPr>
                <w:szCs w:val="21"/>
              </w:rPr>
            </w:pPr>
            <w:r>
              <w:rPr>
                <w:szCs w:val="21"/>
              </w:rPr>
              <w:t>-23.77</w:t>
            </w:r>
          </w:p>
        </w:tc>
      </w:tr>
      <w:tr w14:paraId="2A01B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pct"/>
            <w:vAlign w:val="center"/>
          </w:tcPr>
          <w:p w14:paraId="30E15189">
            <w:pPr>
              <w:kinsoku w:val="0"/>
              <w:overflowPunct w:val="0"/>
              <w:autoSpaceDE w:val="0"/>
              <w:autoSpaceDN w:val="0"/>
              <w:adjustRightInd w:val="0"/>
              <w:snapToGrid w:val="0"/>
              <w:rPr>
                <w:szCs w:val="21"/>
              </w:rPr>
            </w:pPr>
            <w:r>
              <w:rPr>
                <w:rFonts w:hint="eastAsia" w:cs="宋体"/>
                <w:szCs w:val="21"/>
              </w:rPr>
              <w:t>稀释每股收益（元／股）</w:t>
            </w:r>
          </w:p>
        </w:tc>
        <w:tc>
          <w:tcPr>
            <w:tcW w:w="1097" w:type="pct"/>
            <w:vAlign w:val="center"/>
          </w:tcPr>
          <w:p w14:paraId="4F01BEB9">
            <w:pPr>
              <w:kinsoku w:val="0"/>
              <w:overflowPunct w:val="0"/>
              <w:autoSpaceDE w:val="0"/>
              <w:autoSpaceDN w:val="0"/>
              <w:adjustRightInd w:val="0"/>
              <w:snapToGrid w:val="0"/>
              <w:jc w:val="right"/>
              <w:rPr>
                <w:szCs w:val="21"/>
              </w:rPr>
            </w:pPr>
            <w:r>
              <w:rPr>
                <w:szCs w:val="21"/>
              </w:rPr>
              <w:t>0.0247</w:t>
            </w:r>
          </w:p>
        </w:tc>
        <w:tc>
          <w:tcPr>
            <w:tcW w:w="941" w:type="pct"/>
            <w:vAlign w:val="center"/>
          </w:tcPr>
          <w:p w14:paraId="10FEA3C4">
            <w:pPr>
              <w:kinsoku w:val="0"/>
              <w:overflowPunct w:val="0"/>
              <w:autoSpaceDE w:val="0"/>
              <w:autoSpaceDN w:val="0"/>
              <w:adjustRightInd w:val="0"/>
              <w:snapToGrid w:val="0"/>
              <w:jc w:val="right"/>
              <w:rPr>
                <w:szCs w:val="21"/>
              </w:rPr>
            </w:pPr>
            <w:r>
              <w:rPr>
                <w:szCs w:val="21"/>
              </w:rPr>
              <w:t>0.0324</w:t>
            </w:r>
          </w:p>
        </w:tc>
        <w:tc>
          <w:tcPr>
            <w:tcW w:w="1022" w:type="pct"/>
            <w:vAlign w:val="center"/>
          </w:tcPr>
          <w:p w14:paraId="13DD408A">
            <w:pPr>
              <w:kinsoku w:val="0"/>
              <w:overflowPunct w:val="0"/>
              <w:autoSpaceDE w:val="0"/>
              <w:autoSpaceDN w:val="0"/>
              <w:adjustRightInd w:val="0"/>
              <w:snapToGrid w:val="0"/>
              <w:jc w:val="right"/>
              <w:rPr>
                <w:szCs w:val="21"/>
              </w:rPr>
            </w:pPr>
            <w:r>
              <w:rPr>
                <w:szCs w:val="21"/>
              </w:rPr>
              <w:t>-23.77</w:t>
            </w:r>
          </w:p>
        </w:tc>
      </w:tr>
    </w:tbl>
    <w:p w14:paraId="1BA6A89D"/>
    <w:p w14:paraId="03236832">
      <w:pPr>
        <w:pStyle w:val="3"/>
        <w:numPr>
          <w:ilvl w:val="0"/>
          <w:numId w:val="2"/>
        </w:numPr>
        <w:spacing w:before="0" w:after="0" w:line="360" w:lineRule="auto"/>
        <w:ind w:left="0" w:firstLine="0"/>
        <w:rPr>
          <w:rFonts w:ascii="Times New Roman" w:hAnsi="Times New Roman"/>
        </w:rPr>
      </w:pPr>
      <w:r>
        <w:rPr>
          <w:rFonts w:ascii="Times New Roman" w:hAnsi="Times New Roman"/>
        </w:rPr>
        <w:t>前</w:t>
      </w:r>
      <w:r>
        <w:rPr>
          <w:rFonts w:hint="eastAsia" w:ascii="Times New Roman" w:hAnsi="Times New Roman"/>
        </w:rPr>
        <w:t>1</w:t>
      </w:r>
      <w:r>
        <w:rPr>
          <w:rFonts w:ascii="Times New Roman" w:hAnsi="Times New Roman"/>
        </w:rPr>
        <w:t>0名股东</w:t>
      </w:r>
      <w:r>
        <w:rPr>
          <w:rFonts w:hint="eastAsia" w:ascii="Times New Roman" w:hAnsi="Times New Roman"/>
        </w:rPr>
        <w:t>持股</w:t>
      </w:r>
      <w:r>
        <w:rPr>
          <w:rFonts w:ascii="Times New Roman" w:hAnsi="Times New Roman"/>
        </w:rPr>
        <w:t>情况表</w:t>
      </w:r>
    </w:p>
    <w:p w14:paraId="0060EFD4">
      <w:pPr>
        <w:ind w:right="26"/>
        <w:rPr>
          <w:rFonts w:hint="eastAsia" w:asciiTheme="majorEastAsia" w:hAnsiTheme="majorEastAsia" w:eastAsiaTheme="majorEastAsia"/>
        </w:rPr>
      </w:pPr>
    </w:p>
    <w:p w14:paraId="21DD4B32">
      <w:pPr>
        <w:jc w:val="right"/>
        <w:rPr>
          <w:szCs w:val="21"/>
        </w:rPr>
      </w:pPr>
      <w:r>
        <w:rPr>
          <w:rFonts w:hint="eastAsia"/>
          <w:szCs w:val="21"/>
        </w:rPr>
        <w:t xml:space="preserve">                                                                  单位: 股</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5"/>
        <w:gridCol w:w="944"/>
        <w:gridCol w:w="915"/>
        <w:gridCol w:w="1266"/>
        <w:gridCol w:w="1092"/>
        <w:gridCol w:w="839"/>
        <w:gridCol w:w="1267"/>
      </w:tblGrid>
      <w:tr w14:paraId="2C645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9" w:type="pct"/>
            <w:gridSpan w:val="4"/>
          </w:tcPr>
          <w:p w14:paraId="419A89F6">
            <w:r>
              <w:rPr>
                <w:rFonts w:hint="eastAsia" w:cs="宋体"/>
                <w:szCs w:val="21"/>
              </w:rPr>
              <w:t>截至报告期末股东总数（户）</w:t>
            </w:r>
          </w:p>
        </w:tc>
        <w:tc>
          <w:tcPr>
            <w:tcW w:w="1751" w:type="pct"/>
            <w:gridSpan w:val="3"/>
          </w:tcPr>
          <w:p w14:paraId="60AB72EA">
            <w:pPr>
              <w:jc w:val="right"/>
            </w:pPr>
            <w:r>
              <w:t>88,709</w:t>
            </w:r>
          </w:p>
        </w:tc>
      </w:tr>
      <w:tr w14:paraId="6E85B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9" w:type="pct"/>
            <w:gridSpan w:val="4"/>
          </w:tcPr>
          <w:p w14:paraId="219BE90C">
            <w:pPr>
              <w:rPr>
                <w:rFonts w:cs="宋体"/>
                <w:szCs w:val="21"/>
              </w:rPr>
            </w:pPr>
            <w:r>
              <w:rPr>
                <w:rFonts w:hint="eastAsia" w:cs="宋体"/>
                <w:szCs w:val="21"/>
              </w:rPr>
              <w:t>截至报告期末表决权恢复的优先股股东总数（户）</w:t>
            </w:r>
          </w:p>
        </w:tc>
        <w:tc>
          <w:tcPr>
            <w:tcW w:w="1751" w:type="pct"/>
            <w:gridSpan w:val="3"/>
          </w:tcPr>
          <w:p w14:paraId="7548377D">
            <w:pPr>
              <w:jc w:val="right"/>
            </w:pPr>
            <w:r>
              <w:t>0</w:t>
            </w:r>
          </w:p>
        </w:tc>
      </w:tr>
      <w:tr w14:paraId="16FC0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tcPr>
          <w:p w14:paraId="1AD275C0">
            <w:pPr>
              <w:jc w:val="center"/>
            </w:pPr>
            <w:r>
              <w:rPr>
                <w:rFonts w:hint="eastAsia" w:cs="宋体"/>
                <w:szCs w:val="21"/>
              </w:rPr>
              <w:t>前</w:t>
            </w:r>
            <w:r>
              <w:rPr>
                <w:rFonts w:cs="宋体"/>
                <w:szCs w:val="21"/>
              </w:rPr>
              <w:t>10</w:t>
            </w:r>
            <w:r>
              <w:rPr>
                <w:rFonts w:hint="eastAsia" w:cs="宋体"/>
                <w:szCs w:val="21"/>
              </w:rPr>
              <w:t>名股东持股情况</w:t>
            </w:r>
          </w:p>
        </w:tc>
      </w:tr>
      <w:tr w14:paraId="3BDD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0" w:type="pct"/>
            <w:vAlign w:val="center"/>
          </w:tcPr>
          <w:p w14:paraId="5D87400C">
            <w:pPr>
              <w:jc w:val="center"/>
            </w:pPr>
            <w:r>
              <w:rPr>
                <w:rFonts w:hint="eastAsia" w:cs="宋体"/>
                <w:szCs w:val="21"/>
              </w:rPr>
              <w:t>股东名称</w:t>
            </w:r>
          </w:p>
        </w:tc>
        <w:tc>
          <w:tcPr>
            <w:tcW w:w="586" w:type="pct"/>
            <w:vAlign w:val="center"/>
          </w:tcPr>
          <w:p w14:paraId="28B104EC">
            <w:pPr>
              <w:jc w:val="center"/>
            </w:pPr>
            <w:r>
              <w:rPr>
                <w:rFonts w:hint="eastAsia" w:cs="宋体"/>
                <w:szCs w:val="21"/>
              </w:rPr>
              <w:t>股东性质</w:t>
            </w:r>
          </w:p>
        </w:tc>
        <w:tc>
          <w:tcPr>
            <w:tcW w:w="570" w:type="pct"/>
            <w:vAlign w:val="center"/>
          </w:tcPr>
          <w:p w14:paraId="2A168F2D">
            <w:pPr>
              <w:jc w:val="center"/>
            </w:pPr>
            <w:r>
              <w:rPr>
                <w:rFonts w:hint="eastAsia" w:cs="宋体"/>
                <w:szCs w:val="21"/>
              </w:rPr>
              <w:t>持股比例</w:t>
            </w:r>
            <w:r>
              <w:rPr>
                <w:rFonts w:cs="宋体"/>
                <w:szCs w:val="21"/>
              </w:rPr>
              <w:t>(%)</w:t>
            </w:r>
          </w:p>
        </w:tc>
        <w:tc>
          <w:tcPr>
            <w:tcW w:w="523" w:type="pct"/>
            <w:vAlign w:val="center"/>
          </w:tcPr>
          <w:p w14:paraId="3E7F8917">
            <w:pPr>
              <w:jc w:val="center"/>
              <w:rPr>
                <w:rFonts w:cs="宋体"/>
                <w:szCs w:val="21"/>
              </w:rPr>
            </w:pPr>
            <w:r>
              <w:rPr>
                <w:rFonts w:hint="eastAsia" w:cs="宋体"/>
                <w:szCs w:val="21"/>
              </w:rPr>
              <w:t>持股</w:t>
            </w:r>
          </w:p>
          <w:p w14:paraId="3DBB05BB">
            <w:pPr>
              <w:jc w:val="center"/>
            </w:pPr>
            <w:r>
              <w:rPr>
                <w:rFonts w:hint="eastAsia" w:cs="宋体"/>
                <w:szCs w:val="21"/>
              </w:rPr>
              <w:t>数量</w:t>
            </w:r>
          </w:p>
        </w:tc>
        <w:tc>
          <w:tcPr>
            <w:tcW w:w="667" w:type="pct"/>
            <w:vAlign w:val="center"/>
          </w:tcPr>
          <w:p w14:paraId="4AD7B09F">
            <w:pPr>
              <w:jc w:val="center"/>
            </w:pPr>
            <w:r>
              <w:rPr>
                <w:rFonts w:hint="eastAsia" w:cs="宋体"/>
                <w:szCs w:val="21"/>
              </w:rPr>
              <w:t>持有有限售条件的股份数量</w:t>
            </w:r>
          </w:p>
        </w:tc>
        <w:tc>
          <w:tcPr>
            <w:tcW w:w="1084" w:type="pct"/>
            <w:gridSpan w:val="2"/>
            <w:vAlign w:val="center"/>
          </w:tcPr>
          <w:p w14:paraId="4F9FADDC">
            <w:pPr>
              <w:jc w:val="center"/>
            </w:pPr>
            <w:r>
              <w:rPr>
                <w:rFonts w:hint="eastAsia" w:cs="宋体"/>
                <w:szCs w:val="21"/>
              </w:rPr>
              <w:t>质押、标记或冻结的股份数量</w:t>
            </w:r>
          </w:p>
        </w:tc>
      </w:tr>
      <w:tr w14:paraId="75AB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0" w:type="pct"/>
            <w:vAlign w:val="center"/>
          </w:tcPr>
          <w:p w14:paraId="4317BF10">
            <w:pPr>
              <w:jc w:val="left"/>
            </w:pPr>
            <w:r>
              <w:rPr>
                <w:rFonts w:cstheme="minorBidi"/>
              </w:rPr>
              <w:t>海航科技集团有限公司</w:t>
            </w:r>
          </w:p>
        </w:tc>
        <w:tc>
          <w:tcPr>
            <w:tcW w:w="586" w:type="pct"/>
            <w:vAlign w:val="center"/>
          </w:tcPr>
          <w:p w14:paraId="01099B9D">
            <w:pPr>
              <w:jc w:val="left"/>
            </w:pPr>
            <w:r>
              <w:t>境内非国有法人</w:t>
            </w:r>
          </w:p>
        </w:tc>
        <w:tc>
          <w:tcPr>
            <w:tcW w:w="570" w:type="pct"/>
            <w:vAlign w:val="center"/>
          </w:tcPr>
          <w:p w14:paraId="68A37E7F">
            <w:pPr>
              <w:jc w:val="right"/>
            </w:pPr>
            <w:r>
              <w:t>20.76</w:t>
            </w:r>
          </w:p>
        </w:tc>
        <w:tc>
          <w:tcPr>
            <w:tcW w:w="523" w:type="pct"/>
            <w:vAlign w:val="center"/>
          </w:tcPr>
          <w:p w14:paraId="6338AB46">
            <w:pPr>
              <w:jc w:val="right"/>
            </w:pPr>
            <w:r>
              <w:t>602,006,689</w:t>
            </w:r>
          </w:p>
        </w:tc>
        <w:tc>
          <w:tcPr>
            <w:tcW w:w="667" w:type="pct"/>
            <w:vAlign w:val="center"/>
          </w:tcPr>
          <w:p w14:paraId="100F7945">
            <w:pPr>
              <w:jc w:val="right"/>
            </w:pPr>
            <w:r>
              <w:t>0</w:t>
            </w:r>
          </w:p>
        </w:tc>
        <w:tc>
          <w:tcPr>
            <w:tcW w:w="527" w:type="pct"/>
            <w:vAlign w:val="center"/>
          </w:tcPr>
          <w:p w14:paraId="3CAC0191">
            <w:pPr>
              <w:jc w:val="left"/>
            </w:pPr>
            <w:r>
              <w:t>质押</w:t>
            </w:r>
          </w:p>
        </w:tc>
        <w:tc>
          <w:tcPr>
            <w:tcW w:w="558" w:type="pct"/>
            <w:vAlign w:val="center"/>
          </w:tcPr>
          <w:p w14:paraId="2DC4E5AD">
            <w:pPr>
              <w:jc w:val="right"/>
            </w:pPr>
            <w:r>
              <w:t>418,000,000</w:t>
            </w:r>
          </w:p>
        </w:tc>
      </w:tr>
      <w:tr w14:paraId="0FFB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0" w:type="pct"/>
            <w:vAlign w:val="center"/>
          </w:tcPr>
          <w:p w14:paraId="1A359598">
            <w:pPr>
              <w:jc w:val="left"/>
            </w:pPr>
            <w:r>
              <w:rPr>
                <w:rFonts w:cstheme="minorBidi"/>
              </w:rPr>
              <w:t>国华人寿保险股份有限公司－万能三号</w:t>
            </w:r>
          </w:p>
        </w:tc>
        <w:tc>
          <w:tcPr>
            <w:tcW w:w="586" w:type="pct"/>
            <w:vAlign w:val="center"/>
          </w:tcPr>
          <w:p w14:paraId="14B8BA58">
            <w:pPr>
              <w:jc w:val="left"/>
            </w:pPr>
            <w:r>
              <w:t>未知</w:t>
            </w:r>
          </w:p>
        </w:tc>
        <w:tc>
          <w:tcPr>
            <w:tcW w:w="570" w:type="pct"/>
            <w:vAlign w:val="center"/>
          </w:tcPr>
          <w:p w14:paraId="0DD17872">
            <w:pPr>
              <w:jc w:val="right"/>
            </w:pPr>
            <w:r>
              <w:t>14.33</w:t>
            </w:r>
          </w:p>
        </w:tc>
        <w:tc>
          <w:tcPr>
            <w:tcW w:w="523" w:type="pct"/>
            <w:vAlign w:val="center"/>
          </w:tcPr>
          <w:p w14:paraId="380662EA">
            <w:pPr>
              <w:jc w:val="right"/>
            </w:pPr>
            <w:r>
              <w:t>415,565,400</w:t>
            </w:r>
          </w:p>
        </w:tc>
        <w:tc>
          <w:tcPr>
            <w:tcW w:w="667" w:type="pct"/>
            <w:vAlign w:val="center"/>
          </w:tcPr>
          <w:p w14:paraId="680D7902">
            <w:pPr>
              <w:jc w:val="right"/>
            </w:pPr>
            <w:r>
              <w:t>0</w:t>
            </w:r>
          </w:p>
        </w:tc>
        <w:tc>
          <w:tcPr>
            <w:tcW w:w="527" w:type="pct"/>
            <w:vAlign w:val="center"/>
          </w:tcPr>
          <w:p w14:paraId="67E81EEF">
            <w:pPr>
              <w:jc w:val="left"/>
            </w:pPr>
            <w:r>
              <w:t>无</w:t>
            </w:r>
          </w:p>
        </w:tc>
        <w:tc>
          <w:tcPr>
            <w:tcW w:w="558" w:type="pct"/>
            <w:vAlign w:val="center"/>
          </w:tcPr>
          <w:p w14:paraId="4EF7B587">
            <w:pPr>
              <w:jc w:val="right"/>
            </w:pPr>
            <w:r>
              <w:t>0</w:t>
            </w:r>
          </w:p>
        </w:tc>
      </w:tr>
      <w:tr w14:paraId="361FE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0" w:type="pct"/>
            <w:vAlign w:val="center"/>
          </w:tcPr>
          <w:p w14:paraId="4C2C268E">
            <w:pPr>
              <w:jc w:val="left"/>
            </w:pPr>
            <w:r>
              <w:rPr>
                <w:rFonts w:cstheme="minorBidi"/>
              </w:rPr>
              <w:t>大新华物流控股（集团）有限公司</w:t>
            </w:r>
          </w:p>
        </w:tc>
        <w:tc>
          <w:tcPr>
            <w:tcW w:w="586" w:type="pct"/>
            <w:vAlign w:val="center"/>
          </w:tcPr>
          <w:p w14:paraId="54D002AE">
            <w:pPr>
              <w:jc w:val="left"/>
            </w:pPr>
            <w:r>
              <w:t>境内非国有法人</w:t>
            </w:r>
          </w:p>
        </w:tc>
        <w:tc>
          <w:tcPr>
            <w:tcW w:w="570" w:type="pct"/>
            <w:vAlign w:val="center"/>
          </w:tcPr>
          <w:p w14:paraId="4B03B908">
            <w:pPr>
              <w:jc w:val="right"/>
            </w:pPr>
            <w:r>
              <w:t>8.67</w:t>
            </w:r>
          </w:p>
        </w:tc>
        <w:tc>
          <w:tcPr>
            <w:tcW w:w="523" w:type="pct"/>
            <w:vAlign w:val="center"/>
          </w:tcPr>
          <w:p w14:paraId="68DE505B">
            <w:pPr>
              <w:jc w:val="right"/>
            </w:pPr>
            <w:r>
              <w:t>251,436,596</w:t>
            </w:r>
          </w:p>
        </w:tc>
        <w:tc>
          <w:tcPr>
            <w:tcW w:w="667" w:type="pct"/>
            <w:vAlign w:val="center"/>
          </w:tcPr>
          <w:p w14:paraId="33BD94D7">
            <w:pPr>
              <w:jc w:val="right"/>
            </w:pPr>
            <w:r>
              <w:t>0</w:t>
            </w:r>
          </w:p>
        </w:tc>
        <w:tc>
          <w:tcPr>
            <w:tcW w:w="527" w:type="pct"/>
            <w:vAlign w:val="center"/>
          </w:tcPr>
          <w:p w14:paraId="0B03D786">
            <w:pPr>
              <w:jc w:val="left"/>
            </w:pPr>
            <w:r>
              <w:t>质押</w:t>
            </w:r>
          </w:p>
        </w:tc>
        <w:tc>
          <w:tcPr>
            <w:tcW w:w="558" w:type="pct"/>
            <w:vAlign w:val="center"/>
          </w:tcPr>
          <w:p w14:paraId="2D6FD3DF">
            <w:pPr>
              <w:jc w:val="right"/>
            </w:pPr>
            <w:r>
              <w:t>213,132,800</w:t>
            </w:r>
          </w:p>
        </w:tc>
      </w:tr>
      <w:tr w14:paraId="2918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0" w:type="pct"/>
            <w:vAlign w:val="center"/>
          </w:tcPr>
          <w:p w14:paraId="001E0D97">
            <w:pPr>
              <w:jc w:val="left"/>
            </w:pPr>
            <w:r>
              <w:rPr>
                <w:rFonts w:cstheme="minorBidi"/>
              </w:rPr>
              <w:t>招商证券（香港）有限公司</w:t>
            </w:r>
          </w:p>
        </w:tc>
        <w:tc>
          <w:tcPr>
            <w:tcW w:w="586" w:type="pct"/>
            <w:vAlign w:val="center"/>
          </w:tcPr>
          <w:p w14:paraId="1BFC0205">
            <w:pPr>
              <w:jc w:val="left"/>
            </w:pPr>
            <w:r>
              <w:t>未知</w:t>
            </w:r>
          </w:p>
        </w:tc>
        <w:tc>
          <w:tcPr>
            <w:tcW w:w="570" w:type="pct"/>
            <w:vAlign w:val="center"/>
          </w:tcPr>
          <w:p w14:paraId="2DE63B15">
            <w:pPr>
              <w:jc w:val="right"/>
            </w:pPr>
            <w:r>
              <w:t>0.56</w:t>
            </w:r>
          </w:p>
        </w:tc>
        <w:tc>
          <w:tcPr>
            <w:tcW w:w="523" w:type="pct"/>
            <w:vAlign w:val="center"/>
          </w:tcPr>
          <w:p w14:paraId="74755E81">
            <w:pPr>
              <w:jc w:val="right"/>
            </w:pPr>
            <w:r>
              <w:t>16,184,134</w:t>
            </w:r>
          </w:p>
        </w:tc>
        <w:tc>
          <w:tcPr>
            <w:tcW w:w="667" w:type="pct"/>
            <w:vAlign w:val="center"/>
          </w:tcPr>
          <w:p w14:paraId="55B77ED0">
            <w:pPr>
              <w:jc w:val="right"/>
            </w:pPr>
            <w:r>
              <w:t>0</w:t>
            </w:r>
          </w:p>
        </w:tc>
        <w:tc>
          <w:tcPr>
            <w:tcW w:w="527" w:type="pct"/>
            <w:vAlign w:val="center"/>
          </w:tcPr>
          <w:p w14:paraId="7B88C674">
            <w:pPr>
              <w:jc w:val="left"/>
            </w:pPr>
            <w:r>
              <w:t>无</w:t>
            </w:r>
          </w:p>
        </w:tc>
        <w:tc>
          <w:tcPr>
            <w:tcW w:w="558" w:type="pct"/>
            <w:vAlign w:val="center"/>
          </w:tcPr>
          <w:p w14:paraId="493248A0">
            <w:pPr>
              <w:jc w:val="right"/>
            </w:pPr>
            <w:r>
              <w:t>0</w:t>
            </w:r>
          </w:p>
        </w:tc>
      </w:tr>
      <w:tr w14:paraId="2F08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0" w:type="pct"/>
            <w:vAlign w:val="center"/>
          </w:tcPr>
          <w:p w14:paraId="3EF9FF3B">
            <w:pPr>
              <w:jc w:val="left"/>
            </w:pPr>
            <w:r>
              <w:rPr>
                <w:rFonts w:cstheme="minorBidi"/>
              </w:rPr>
              <w:t>香港中央结算有限公司</w:t>
            </w:r>
          </w:p>
        </w:tc>
        <w:tc>
          <w:tcPr>
            <w:tcW w:w="586" w:type="pct"/>
            <w:vAlign w:val="center"/>
          </w:tcPr>
          <w:p w14:paraId="17C14870">
            <w:pPr>
              <w:jc w:val="left"/>
            </w:pPr>
            <w:r>
              <w:t>未知</w:t>
            </w:r>
          </w:p>
        </w:tc>
        <w:tc>
          <w:tcPr>
            <w:tcW w:w="570" w:type="pct"/>
            <w:vAlign w:val="center"/>
          </w:tcPr>
          <w:p w14:paraId="6D04A788">
            <w:pPr>
              <w:jc w:val="right"/>
            </w:pPr>
            <w:r>
              <w:t>0.55</w:t>
            </w:r>
          </w:p>
        </w:tc>
        <w:tc>
          <w:tcPr>
            <w:tcW w:w="523" w:type="pct"/>
            <w:vAlign w:val="center"/>
          </w:tcPr>
          <w:p w14:paraId="669C0B1C">
            <w:pPr>
              <w:jc w:val="right"/>
            </w:pPr>
            <w:r>
              <w:t>15,915,891</w:t>
            </w:r>
          </w:p>
        </w:tc>
        <w:tc>
          <w:tcPr>
            <w:tcW w:w="667" w:type="pct"/>
            <w:vAlign w:val="center"/>
          </w:tcPr>
          <w:p w14:paraId="0B631102">
            <w:pPr>
              <w:jc w:val="right"/>
            </w:pPr>
            <w:r>
              <w:t>0</w:t>
            </w:r>
          </w:p>
        </w:tc>
        <w:tc>
          <w:tcPr>
            <w:tcW w:w="527" w:type="pct"/>
            <w:vAlign w:val="center"/>
          </w:tcPr>
          <w:p w14:paraId="7290396A">
            <w:pPr>
              <w:jc w:val="left"/>
            </w:pPr>
            <w:r>
              <w:t>无</w:t>
            </w:r>
          </w:p>
        </w:tc>
        <w:tc>
          <w:tcPr>
            <w:tcW w:w="558" w:type="pct"/>
            <w:vAlign w:val="center"/>
          </w:tcPr>
          <w:p w14:paraId="21F7807C">
            <w:pPr>
              <w:jc w:val="right"/>
            </w:pPr>
            <w:r>
              <w:t>0</w:t>
            </w:r>
          </w:p>
        </w:tc>
      </w:tr>
      <w:tr w14:paraId="3F1FE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0" w:type="pct"/>
            <w:vAlign w:val="center"/>
          </w:tcPr>
          <w:p w14:paraId="01C4AE8B">
            <w:pPr>
              <w:jc w:val="left"/>
            </w:pPr>
            <w:r>
              <w:rPr>
                <w:rFonts w:cstheme="minorBidi"/>
              </w:rPr>
              <w:t>招商银行股份有限公司－南方中证1000交易型开放式指数证券投资基金</w:t>
            </w:r>
          </w:p>
        </w:tc>
        <w:tc>
          <w:tcPr>
            <w:tcW w:w="586" w:type="pct"/>
            <w:vAlign w:val="center"/>
          </w:tcPr>
          <w:p w14:paraId="7168AD2F">
            <w:pPr>
              <w:jc w:val="left"/>
            </w:pPr>
            <w:r>
              <w:t>未知</w:t>
            </w:r>
          </w:p>
        </w:tc>
        <w:tc>
          <w:tcPr>
            <w:tcW w:w="570" w:type="pct"/>
            <w:vAlign w:val="center"/>
          </w:tcPr>
          <w:p w14:paraId="57C8E819">
            <w:pPr>
              <w:jc w:val="right"/>
            </w:pPr>
            <w:r>
              <w:t>0.50</w:t>
            </w:r>
          </w:p>
        </w:tc>
        <w:tc>
          <w:tcPr>
            <w:tcW w:w="523" w:type="pct"/>
            <w:vAlign w:val="center"/>
          </w:tcPr>
          <w:p w14:paraId="517CF9F2">
            <w:pPr>
              <w:jc w:val="right"/>
            </w:pPr>
            <w:r>
              <w:t>14,630,900</w:t>
            </w:r>
          </w:p>
        </w:tc>
        <w:tc>
          <w:tcPr>
            <w:tcW w:w="667" w:type="pct"/>
            <w:vAlign w:val="center"/>
          </w:tcPr>
          <w:p w14:paraId="428DA436">
            <w:pPr>
              <w:jc w:val="right"/>
            </w:pPr>
            <w:r>
              <w:t>0</w:t>
            </w:r>
          </w:p>
        </w:tc>
        <w:tc>
          <w:tcPr>
            <w:tcW w:w="527" w:type="pct"/>
            <w:vAlign w:val="center"/>
          </w:tcPr>
          <w:p w14:paraId="4EE189A7">
            <w:pPr>
              <w:jc w:val="left"/>
            </w:pPr>
            <w:r>
              <w:t>无</w:t>
            </w:r>
          </w:p>
        </w:tc>
        <w:tc>
          <w:tcPr>
            <w:tcW w:w="558" w:type="pct"/>
            <w:vAlign w:val="center"/>
          </w:tcPr>
          <w:p w14:paraId="3D6AA3EF">
            <w:pPr>
              <w:jc w:val="right"/>
            </w:pPr>
            <w:r>
              <w:t>0</w:t>
            </w:r>
          </w:p>
        </w:tc>
      </w:tr>
      <w:tr w14:paraId="3C848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0" w:type="pct"/>
            <w:vAlign w:val="center"/>
          </w:tcPr>
          <w:p w14:paraId="44F8CA3E">
            <w:pPr>
              <w:jc w:val="left"/>
            </w:pPr>
            <w:r>
              <w:rPr>
                <w:rFonts w:cstheme="minorBidi"/>
              </w:rPr>
              <w:t>王雅萍</w:t>
            </w:r>
          </w:p>
        </w:tc>
        <w:tc>
          <w:tcPr>
            <w:tcW w:w="586" w:type="pct"/>
            <w:vAlign w:val="center"/>
          </w:tcPr>
          <w:p w14:paraId="177372E2">
            <w:pPr>
              <w:jc w:val="left"/>
            </w:pPr>
            <w:r>
              <w:t>境内自然人</w:t>
            </w:r>
          </w:p>
        </w:tc>
        <w:tc>
          <w:tcPr>
            <w:tcW w:w="570" w:type="pct"/>
            <w:vAlign w:val="center"/>
          </w:tcPr>
          <w:p w14:paraId="430B1115">
            <w:pPr>
              <w:jc w:val="right"/>
            </w:pPr>
            <w:r>
              <w:t>0.37</w:t>
            </w:r>
          </w:p>
        </w:tc>
        <w:tc>
          <w:tcPr>
            <w:tcW w:w="523" w:type="pct"/>
            <w:vAlign w:val="center"/>
          </w:tcPr>
          <w:p w14:paraId="1A9B2953">
            <w:pPr>
              <w:jc w:val="right"/>
            </w:pPr>
            <w:r>
              <w:t>10,732,500</w:t>
            </w:r>
          </w:p>
        </w:tc>
        <w:tc>
          <w:tcPr>
            <w:tcW w:w="667" w:type="pct"/>
            <w:vAlign w:val="center"/>
          </w:tcPr>
          <w:p w14:paraId="4D8D0EB2">
            <w:pPr>
              <w:jc w:val="right"/>
            </w:pPr>
            <w:r>
              <w:t>0</w:t>
            </w:r>
          </w:p>
        </w:tc>
        <w:tc>
          <w:tcPr>
            <w:tcW w:w="527" w:type="pct"/>
            <w:vAlign w:val="center"/>
          </w:tcPr>
          <w:p w14:paraId="3779AFB0">
            <w:pPr>
              <w:jc w:val="left"/>
            </w:pPr>
            <w:r>
              <w:t>无</w:t>
            </w:r>
          </w:p>
        </w:tc>
        <w:tc>
          <w:tcPr>
            <w:tcW w:w="558" w:type="pct"/>
            <w:vAlign w:val="center"/>
          </w:tcPr>
          <w:p w14:paraId="5255B16D">
            <w:pPr>
              <w:jc w:val="right"/>
            </w:pPr>
            <w:r>
              <w:t>0</w:t>
            </w:r>
          </w:p>
        </w:tc>
      </w:tr>
      <w:tr w14:paraId="6403F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0" w:type="pct"/>
            <w:vAlign w:val="center"/>
          </w:tcPr>
          <w:p w14:paraId="44754607">
            <w:pPr>
              <w:jc w:val="left"/>
            </w:pPr>
            <w:r>
              <w:rPr>
                <w:rFonts w:cstheme="minorBidi"/>
              </w:rPr>
              <w:t>金明飞</w:t>
            </w:r>
          </w:p>
        </w:tc>
        <w:tc>
          <w:tcPr>
            <w:tcW w:w="586" w:type="pct"/>
            <w:vAlign w:val="center"/>
          </w:tcPr>
          <w:p w14:paraId="620C597A">
            <w:pPr>
              <w:jc w:val="left"/>
            </w:pPr>
            <w:r>
              <w:t>境内自然人</w:t>
            </w:r>
          </w:p>
        </w:tc>
        <w:tc>
          <w:tcPr>
            <w:tcW w:w="570" w:type="pct"/>
            <w:vAlign w:val="center"/>
          </w:tcPr>
          <w:p w14:paraId="0ED17C7C">
            <w:pPr>
              <w:jc w:val="right"/>
            </w:pPr>
            <w:r>
              <w:t>0.36</w:t>
            </w:r>
          </w:p>
        </w:tc>
        <w:tc>
          <w:tcPr>
            <w:tcW w:w="523" w:type="pct"/>
            <w:vAlign w:val="center"/>
          </w:tcPr>
          <w:p w14:paraId="15A14863">
            <w:pPr>
              <w:jc w:val="right"/>
            </w:pPr>
            <w:r>
              <w:t>10,369,300</w:t>
            </w:r>
          </w:p>
        </w:tc>
        <w:tc>
          <w:tcPr>
            <w:tcW w:w="667" w:type="pct"/>
            <w:vAlign w:val="center"/>
          </w:tcPr>
          <w:p w14:paraId="6762BF4D">
            <w:pPr>
              <w:jc w:val="right"/>
            </w:pPr>
            <w:r>
              <w:t>0</w:t>
            </w:r>
          </w:p>
        </w:tc>
        <w:tc>
          <w:tcPr>
            <w:tcW w:w="527" w:type="pct"/>
            <w:vAlign w:val="center"/>
          </w:tcPr>
          <w:p w14:paraId="5251D5CC">
            <w:pPr>
              <w:jc w:val="left"/>
            </w:pPr>
            <w:r>
              <w:t>无</w:t>
            </w:r>
          </w:p>
        </w:tc>
        <w:tc>
          <w:tcPr>
            <w:tcW w:w="558" w:type="pct"/>
            <w:vAlign w:val="center"/>
          </w:tcPr>
          <w:p w14:paraId="2883D15F">
            <w:pPr>
              <w:jc w:val="right"/>
            </w:pPr>
            <w:r>
              <w:t>0</w:t>
            </w:r>
          </w:p>
        </w:tc>
      </w:tr>
      <w:tr w14:paraId="1B82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0" w:type="pct"/>
            <w:vAlign w:val="center"/>
          </w:tcPr>
          <w:p w14:paraId="06274638">
            <w:pPr>
              <w:jc w:val="left"/>
            </w:pPr>
            <w:r>
              <w:rPr>
                <w:rFonts w:cstheme="minorBidi"/>
              </w:rPr>
              <w:t>宋文卿</w:t>
            </w:r>
          </w:p>
        </w:tc>
        <w:tc>
          <w:tcPr>
            <w:tcW w:w="586" w:type="pct"/>
            <w:vAlign w:val="center"/>
          </w:tcPr>
          <w:p w14:paraId="2BBD9050">
            <w:pPr>
              <w:jc w:val="left"/>
            </w:pPr>
            <w:r>
              <w:t>境内自然人</w:t>
            </w:r>
          </w:p>
        </w:tc>
        <w:tc>
          <w:tcPr>
            <w:tcW w:w="570" w:type="pct"/>
            <w:vAlign w:val="center"/>
          </w:tcPr>
          <w:p w14:paraId="225608DB">
            <w:pPr>
              <w:jc w:val="right"/>
            </w:pPr>
            <w:r>
              <w:t>0.34</w:t>
            </w:r>
          </w:p>
        </w:tc>
        <w:tc>
          <w:tcPr>
            <w:tcW w:w="523" w:type="pct"/>
            <w:vAlign w:val="center"/>
          </w:tcPr>
          <w:p w14:paraId="599E9173">
            <w:pPr>
              <w:jc w:val="right"/>
            </w:pPr>
            <w:r>
              <w:t>9,719,185</w:t>
            </w:r>
          </w:p>
        </w:tc>
        <w:tc>
          <w:tcPr>
            <w:tcW w:w="667" w:type="pct"/>
            <w:vAlign w:val="center"/>
          </w:tcPr>
          <w:p w14:paraId="333EC517">
            <w:pPr>
              <w:jc w:val="right"/>
            </w:pPr>
            <w:r>
              <w:t>0</w:t>
            </w:r>
          </w:p>
        </w:tc>
        <w:tc>
          <w:tcPr>
            <w:tcW w:w="527" w:type="pct"/>
            <w:vAlign w:val="center"/>
          </w:tcPr>
          <w:p w14:paraId="0A1BD4CE">
            <w:pPr>
              <w:jc w:val="left"/>
            </w:pPr>
            <w:r>
              <w:t>无</w:t>
            </w:r>
          </w:p>
        </w:tc>
        <w:tc>
          <w:tcPr>
            <w:tcW w:w="558" w:type="pct"/>
            <w:vAlign w:val="center"/>
          </w:tcPr>
          <w:p w14:paraId="68BFA751">
            <w:pPr>
              <w:jc w:val="right"/>
            </w:pPr>
            <w:r>
              <w:t>0</w:t>
            </w:r>
          </w:p>
        </w:tc>
      </w:tr>
      <w:tr w14:paraId="6240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0" w:type="pct"/>
            <w:vAlign w:val="center"/>
          </w:tcPr>
          <w:p w14:paraId="045A86DF">
            <w:pPr>
              <w:jc w:val="left"/>
            </w:pPr>
            <w:r>
              <w:rPr>
                <w:rFonts w:cstheme="minorBidi"/>
              </w:rPr>
              <w:t>上海赤钥投资有限公司－赤钥10号私募证券投资基金</w:t>
            </w:r>
          </w:p>
        </w:tc>
        <w:tc>
          <w:tcPr>
            <w:tcW w:w="586" w:type="pct"/>
            <w:vAlign w:val="center"/>
          </w:tcPr>
          <w:p w14:paraId="1FF4C931">
            <w:pPr>
              <w:jc w:val="left"/>
            </w:pPr>
            <w:r>
              <w:t>未知</w:t>
            </w:r>
          </w:p>
        </w:tc>
        <w:tc>
          <w:tcPr>
            <w:tcW w:w="570" w:type="pct"/>
            <w:vAlign w:val="center"/>
          </w:tcPr>
          <w:p w14:paraId="0CD72EC7">
            <w:pPr>
              <w:jc w:val="right"/>
            </w:pPr>
            <w:r>
              <w:t>0.33</w:t>
            </w:r>
          </w:p>
        </w:tc>
        <w:tc>
          <w:tcPr>
            <w:tcW w:w="523" w:type="pct"/>
            <w:vAlign w:val="center"/>
          </w:tcPr>
          <w:p w14:paraId="362A30D5">
            <w:pPr>
              <w:jc w:val="right"/>
            </w:pPr>
            <w:r>
              <w:t>9,568,500</w:t>
            </w:r>
          </w:p>
        </w:tc>
        <w:tc>
          <w:tcPr>
            <w:tcW w:w="667" w:type="pct"/>
            <w:vAlign w:val="center"/>
          </w:tcPr>
          <w:p w14:paraId="0BA01920">
            <w:pPr>
              <w:jc w:val="right"/>
            </w:pPr>
            <w:r>
              <w:t>0</w:t>
            </w:r>
          </w:p>
        </w:tc>
        <w:tc>
          <w:tcPr>
            <w:tcW w:w="527" w:type="pct"/>
            <w:vAlign w:val="center"/>
          </w:tcPr>
          <w:p w14:paraId="17F08784">
            <w:pPr>
              <w:jc w:val="left"/>
            </w:pPr>
            <w:r>
              <w:t>无</w:t>
            </w:r>
          </w:p>
        </w:tc>
        <w:tc>
          <w:tcPr>
            <w:tcW w:w="558" w:type="pct"/>
            <w:vAlign w:val="center"/>
          </w:tcPr>
          <w:p w14:paraId="018B90D9">
            <w:pPr>
              <w:jc w:val="right"/>
            </w:pPr>
            <w:r>
              <w:t>0</w:t>
            </w:r>
          </w:p>
        </w:tc>
      </w:tr>
      <w:tr w14:paraId="76878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6" w:type="pct"/>
            <w:gridSpan w:val="2"/>
          </w:tcPr>
          <w:p w14:paraId="61CB46CA">
            <w:r>
              <w:rPr>
                <w:rFonts w:hint="eastAsia" w:cs="宋体"/>
                <w:szCs w:val="21"/>
              </w:rPr>
              <w:t>上述股东关联关系或一致行动的说明</w:t>
            </w:r>
          </w:p>
        </w:tc>
        <w:tc>
          <w:tcPr>
            <w:tcW w:w="2844" w:type="pct"/>
            <w:gridSpan w:val="5"/>
            <w:vAlign w:val="center"/>
          </w:tcPr>
          <w:p w14:paraId="4E679337">
            <w:pPr>
              <w:jc w:val="left"/>
            </w:pPr>
            <w:r>
              <w:t>截至报告期末，海航科技集团</w:t>
            </w:r>
            <w:r>
              <w:rPr>
                <w:rFonts w:hint="eastAsia"/>
              </w:rPr>
              <w:t>有限公司</w:t>
            </w:r>
            <w:r>
              <w:t>及其一致行动人大新华物流控股</w:t>
            </w:r>
            <w:r>
              <w:rPr>
                <w:rFonts w:hint="eastAsia"/>
              </w:rPr>
              <w:t>（集团）有限公司</w:t>
            </w:r>
            <w:r>
              <w:t>共持有公司股份数量为853,443,285股无限售流动股，占公司总股本的29.44%；累计质押数量631,132,800股，占公司总股本的21.77%；其中，海航科技集团</w:t>
            </w:r>
            <w:r>
              <w:rPr>
                <w:rFonts w:hint="eastAsia"/>
              </w:rPr>
              <w:t>有限公司</w:t>
            </w:r>
            <w:r>
              <w:t>所持股份被质押数量为418,000,000股，占公司总股本的14.42%；大新华物流控股</w:t>
            </w:r>
            <w:r>
              <w:rPr>
                <w:rFonts w:hint="eastAsia"/>
              </w:rPr>
              <w:t>（集团）有限公司</w:t>
            </w:r>
            <w:r>
              <w:t>所持股份被质押数量为213,132,800股，占公司总股本的7.35%。</w:t>
            </w:r>
          </w:p>
        </w:tc>
      </w:tr>
      <w:tr w14:paraId="7A96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6" w:type="pct"/>
            <w:gridSpan w:val="2"/>
          </w:tcPr>
          <w:p w14:paraId="48ED9AE1">
            <w:pPr>
              <w:rPr>
                <w:rFonts w:cs="宋体"/>
                <w:szCs w:val="21"/>
              </w:rPr>
            </w:pPr>
            <w:r>
              <w:rPr>
                <w:rFonts w:hint="eastAsia" w:cs="宋体"/>
                <w:szCs w:val="21"/>
              </w:rPr>
              <w:t>表决权恢复的优先股股东及持股数量的说明</w:t>
            </w:r>
          </w:p>
        </w:tc>
        <w:tc>
          <w:tcPr>
            <w:tcW w:w="2844" w:type="pct"/>
            <w:gridSpan w:val="5"/>
            <w:vAlign w:val="center"/>
          </w:tcPr>
          <w:p w14:paraId="5E5B9602">
            <w:pPr>
              <w:jc w:val="left"/>
            </w:pPr>
            <w:r>
              <w:t>无</w:t>
            </w:r>
          </w:p>
        </w:tc>
      </w:tr>
    </w:tbl>
    <w:p w14:paraId="02E8E12F"/>
    <w:p w14:paraId="11DD8CDD"/>
    <w:p w14:paraId="7245E941">
      <w:pPr>
        <w:jc w:val="right"/>
      </w:pPr>
    </w:p>
    <w:p w14:paraId="4C9617D4">
      <w:pPr>
        <w:pStyle w:val="3"/>
        <w:numPr>
          <w:ilvl w:val="0"/>
          <w:numId w:val="2"/>
        </w:numPr>
        <w:spacing w:before="0" w:after="0" w:line="360" w:lineRule="auto"/>
        <w:ind w:left="0" w:firstLine="0"/>
        <w:rPr>
          <w:rFonts w:ascii="Times New Roman" w:hAnsi="Times New Roman"/>
        </w:rPr>
      </w:pPr>
      <w:r>
        <w:rPr>
          <w:rFonts w:ascii="Times New Roman" w:hAnsi="Times New Roman"/>
        </w:rPr>
        <w:t>截至报告期末的</w:t>
      </w:r>
      <w:r>
        <w:rPr>
          <w:rFonts w:hint="eastAsia" w:ascii="Times New Roman" w:hAnsi="Times New Roman"/>
        </w:rPr>
        <w:t>优先股</w:t>
      </w:r>
      <w:r>
        <w:rPr>
          <w:rFonts w:ascii="Times New Roman" w:hAnsi="Times New Roman"/>
        </w:rPr>
        <w:t>股东总数、前</w:t>
      </w:r>
      <w:r>
        <w:rPr>
          <w:rFonts w:hint="eastAsia" w:ascii="Times New Roman" w:hAnsi="Times New Roman"/>
        </w:rPr>
        <w:t>1</w:t>
      </w:r>
      <w:r>
        <w:rPr>
          <w:rFonts w:ascii="Times New Roman" w:hAnsi="Times New Roman"/>
        </w:rPr>
        <w:t>0名</w:t>
      </w:r>
      <w:r>
        <w:rPr>
          <w:rFonts w:hint="eastAsia" w:ascii="Times New Roman" w:hAnsi="Times New Roman"/>
        </w:rPr>
        <w:t>优先股</w:t>
      </w:r>
      <w:r>
        <w:rPr>
          <w:rFonts w:ascii="Times New Roman" w:hAnsi="Times New Roman"/>
        </w:rPr>
        <w:t>股东情况表</w:t>
      </w:r>
    </w:p>
    <w:p w14:paraId="351CF67C">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MACROBUTTON  SnrToggleCheckbox √不适用 </w:instrText>
      </w:r>
      <w:r>
        <w:rPr>
          <w:rFonts w:ascii="宋体" w:hAnsi="宋体"/>
        </w:rPr>
        <w:fldChar w:fldCharType="end"/>
      </w:r>
    </w:p>
    <w:p w14:paraId="0DDE4A80">
      <w:pPr>
        <w:pStyle w:val="3"/>
        <w:numPr>
          <w:ilvl w:val="0"/>
          <w:numId w:val="2"/>
        </w:numPr>
        <w:spacing w:before="0" w:after="0" w:line="360" w:lineRule="auto"/>
        <w:ind w:left="0" w:firstLine="0"/>
        <w:rPr>
          <w:rFonts w:ascii="Times New Roman" w:hAnsi="Times New Roman"/>
        </w:rPr>
      </w:pPr>
      <w:r>
        <w:rPr>
          <w:rFonts w:hint="eastAsia" w:ascii="Times New Roman" w:hAnsi="Times New Roman"/>
        </w:rPr>
        <w:t>控股股东或实际控制人变更情况</w:t>
      </w:r>
    </w:p>
    <w:p w14:paraId="23DCD9C8">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MACROBUTTON  SnrToggleCheckbox √不适用 </w:instrText>
      </w:r>
      <w:r>
        <w:rPr>
          <w:rFonts w:ascii="宋体" w:hAnsi="宋体"/>
        </w:rPr>
        <w:fldChar w:fldCharType="end"/>
      </w:r>
    </w:p>
    <w:p w14:paraId="16871B37"/>
    <w:p w14:paraId="582BC1F4">
      <w:pPr>
        <w:pStyle w:val="3"/>
        <w:numPr>
          <w:ilvl w:val="0"/>
          <w:numId w:val="2"/>
        </w:numPr>
        <w:spacing w:before="0" w:after="0" w:line="360" w:lineRule="auto"/>
        <w:ind w:left="0" w:firstLine="0"/>
        <w:rPr>
          <w:rFonts w:ascii="Times New Roman" w:hAnsi="Times New Roman"/>
        </w:rPr>
      </w:pPr>
      <w:r>
        <w:rPr>
          <w:rFonts w:hint="eastAsia" w:ascii="Times New Roman" w:hAnsi="Times New Roman"/>
        </w:rPr>
        <w:t>在半年度报告</w:t>
      </w:r>
      <w:r>
        <w:rPr>
          <w:rFonts w:ascii="Times New Roman" w:hAnsi="Times New Roman"/>
        </w:rPr>
        <w:t>批准报出日存续的债券情况</w:t>
      </w:r>
    </w:p>
    <w:p w14:paraId="6BCBEFDE">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MACROBUTTON  SnrToggleCheckbox √不适用 </w:instrText>
      </w:r>
      <w:r>
        <w:rPr>
          <w:rFonts w:ascii="宋体" w:hAnsi="宋体"/>
        </w:rPr>
        <w:fldChar w:fldCharType="end"/>
      </w:r>
    </w:p>
    <w:p w14:paraId="667C912F">
      <w:pPr>
        <w:pStyle w:val="2"/>
        <w:spacing w:line="240" w:lineRule="auto"/>
        <w:rPr>
          <w:sz w:val="24"/>
          <w:szCs w:val="24"/>
        </w:rPr>
      </w:pPr>
      <w:r>
        <w:rPr>
          <w:rFonts w:hint="eastAsia"/>
          <w:sz w:val="24"/>
          <w:szCs w:val="24"/>
        </w:rPr>
        <w:t>第三节 重要事项</w:t>
      </w:r>
    </w:p>
    <w:p w14:paraId="201C06D8">
      <w:pPr>
        <w:rPr>
          <w:b/>
          <w:bCs/>
        </w:rPr>
      </w:pPr>
      <w:r>
        <w:rPr>
          <w:rFonts w:hint="eastAsia"/>
          <w:b/>
          <w:bCs/>
        </w:rPr>
        <w:t>公司应当根据重要性原则，说明报告期内公司经营情况的重大变化，以及报告期内发生的对公司经营情况有重大影响和预计未来会有重大影响的事项</w:t>
      </w:r>
    </w:p>
    <w:p w14:paraId="6E3F48DC">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MACROBUTTON  SnrToggleCheckbox √不适用 </w:instrText>
      </w:r>
      <w:r>
        <w:rPr>
          <w:rFonts w:ascii="宋体" w:hAnsi="宋体"/>
        </w:rPr>
        <w:fldChar w:fldCharType="end"/>
      </w:r>
    </w:p>
    <w:p w14:paraId="146FDFF0"/>
    <w:p w14:paraId="2F370743"/>
    <w:sectPr>
      <w:headerReference r:id="rId3" w:type="default"/>
      <w:pgSz w:w="11906" w:h="16838"/>
      <w:pgMar w:top="1528" w:right="1274" w:bottom="1440" w:left="1800" w:header="855"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Courier New">
    <w:panose1 w:val="02070309020205020404"/>
    <w:charset w:val="00"/>
    <w:family w:val="modern"/>
    <w:pitch w:val="default"/>
    <w:sig w:usb0="E0002EFF" w:usb1="C0007843" w:usb2="00000009" w:usb3="00000000" w:csb0="400001FF" w:csb1="FFFF0000"/>
  </w:font>
  <w:font w:name="Helvetica-Narrow">
    <w:altName w:val="Arial Narrow"/>
    <w:panose1 w:val="00000000000000000000"/>
    <w:charset w:val="00"/>
    <w:family w:val="swiss"/>
    <w:pitch w:val="default"/>
    <w:sig w:usb0="00000000" w:usb1="00000000" w:usb2="00000000" w:usb3="00000000" w:csb0="00000001" w:csb1="00000000"/>
  </w:font>
  <w:font w:name="Arial Narrow">
    <w:panose1 w:val="020B0606020202030204"/>
    <w:charset w:val="00"/>
    <w:family w:val="auto"/>
    <w:pitch w:val="default"/>
    <w:sig w:usb0="00000287" w:usb1="00000800" w:usb2="00000000" w:usb3="00000000" w:csb0="2000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9764F">
    <w:pPr>
      <w:pStyle w:val="18"/>
      <w:rPr>
        <w:rFonts w:hint="eastAsia" w:ascii="宋体" w:hAnsi="宋体"/>
      </w:rPr>
    </w:pPr>
    <w:sdt>
      <w:sdtPr>
        <w:rPr>
          <w:rFonts w:hint="eastAsia" w:ascii="宋体" w:hAnsi="宋体"/>
        </w:rPr>
        <w:alias w:val="公司法定中文名称"/>
        <w:tag w:val="_GBC_c4808a6d1817485fbc77c332d88f8f35"/>
        <w:id w:val="1335029295"/>
        <w:dataBinding w:prefixMappings="xmlns:clcid-cgi='clcid-cgi'" w:xpath="/*/clcid-cgi:GongSiFaDingZhongWenMingCheng[not(@periodRef)]" w:storeItemID="{89EBAB94-44A0-46A2-B712-30D997D04A6D}"/>
        <w:text/>
      </w:sdtPr>
      <w:sdtEndPr>
        <w:rPr>
          <w:rFonts w:hint="eastAsia" w:ascii="宋体" w:hAnsi="宋体"/>
        </w:rPr>
      </w:sdtEndPr>
      <w:sdtContent>
        <w:r>
          <w:rPr>
            <w:rFonts w:hint="eastAsia" w:ascii="宋体" w:hAnsi="宋体"/>
          </w:rPr>
          <w:t>海航科技股份有限公司</w:t>
        </w:r>
      </w:sdtContent>
    </w:sdt>
    <w:r>
      <w:rPr>
        <w:rFonts w:hint="eastAsia" w:ascii="宋体" w:hAnsi="宋体"/>
      </w:rPr>
      <w:t>2</w:t>
    </w:r>
    <w:r>
      <w:rPr>
        <w:rFonts w:ascii="宋体" w:hAnsi="宋体"/>
      </w:rPr>
      <w:t>025年半年度报告摘要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7B4F61"/>
    <w:multiLevelType w:val="multilevel"/>
    <w:tmpl w:val="157B4F61"/>
    <w:lvl w:ilvl="0" w:tentative="0">
      <w:start w:val="1"/>
      <w:numFmt w:val="decimal"/>
      <w:lvlText w:val="1.%1"/>
      <w:lvlJc w:val="left"/>
      <w:pPr>
        <w:ind w:left="425" w:hanging="425"/>
      </w:pPr>
      <w:rPr>
        <w:rFonts w:hint="eastAsia" w:asciiTheme="minorEastAsia" w:hAnsiTheme="minorEastAsia" w:eastAsiaTheme="minorEastAsia"/>
        <w:color w:val="auto"/>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6DD71B09"/>
    <w:multiLevelType w:val="multilevel"/>
    <w:tmpl w:val="6DD71B09"/>
    <w:lvl w:ilvl="0" w:tentative="0">
      <w:start w:val="1"/>
      <w:numFmt w:val="decimal"/>
      <w:lvlText w:val="2.%1"/>
      <w:lvlJc w:val="left"/>
      <w:pPr>
        <w:ind w:left="425" w:hanging="425"/>
      </w:pPr>
      <w:rPr>
        <w:rFonts w:hint="eastAsia" w:asciiTheme="minorEastAsia" w:hAnsiTheme="minorEastAsia" w:eastAsiaTheme="minorEastAsia"/>
        <w:color w:val="auto"/>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DD256F"/>
    <w:rsid w:val="00002973"/>
    <w:rsid w:val="0000568D"/>
    <w:rsid w:val="00011C95"/>
    <w:rsid w:val="00014DD5"/>
    <w:rsid w:val="00017CF8"/>
    <w:rsid w:val="0002110B"/>
    <w:rsid w:val="00022C3F"/>
    <w:rsid w:val="000254C6"/>
    <w:rsid w:val="0002612F"/>
    <w:rsid w:val="000271B5"/>
    <w:rsid w:val="000317E9"/>
    <w:rsid w:val="00031A88"/>
    <w:rsid w:val="00034983"/>
    <w:rsid w:val="00034FF7"/>
    <w:rsid w:val="00036357"/>
    <w:rsid w:val="000429ED"/>
    <w:rsid w:val="00044398"/>
    <w:rsid w:val="000451ED"/>
    <w:rsid w:val="000461BB"/>
    <w:rsid w:val="00051708"/>
    <w:rsid w:val="00051BE5"/>
    <w:rsid w:val="00052C25"/>
    <w:rsid w:val="00055C3F"/>
    <w:rsid w:val="000569CC"/>
    <w:rsid w:val="00057851"/>
    <w:rsid w:val="00057A41"/>
    <w:rsid w:val="0006013C"/>
    <w:rsid w:val="00060230"/>
    <w:rsid w:val="000612A1"/>
    <w:rsid w:val="00062AA3"/>
    <w:rsid w:val="00063893"/>
    <w:rsid w:val="00065B7B"/>
    <w:rsid w:val="00071950"/>
    <w:rsid w:val="00076117"/>
    <w:rsid w:val="00077EAC"/>
    <w:rsid w:val="00080509"/>
    <w:rsid w:val="00082A1A"/>
    <w:rsid w:val="00084008"/>
    <w:rsid w:val="000841ED"/>
    <w:rsid w:val="00085C01"/>
    <w:rsid w:val="000868AD"/>
    <w:rsid w:val="00090ADC"/>
    <w:rsid w:val="0009141B"/>
    <w:rsid w:val="00091DDA"/>
    <w:rsid w:val="0009228C"/>
    <w:rsid w:val="00092E64"/>
    <w:rsid w:val="000955B9"/>
    <w:rsid w:val="00096AC8"/>
    <w:rsid w:val="0009799B"/>
    <w:rsid w:val="000A104B"/>
    <w:rsid w:val="000A4309"/>
    <w:rsid w:val="000B14EF"/>
    <w:rsid w:val="000B56BC"/>
    <w:rsid w:val="000B5F96"/>
    <w:rsid w:val="000B78AC"/>
    <w:rsid w:val="000C0519"/>
    <w:rsid w:val="000C3C1E"/>
    <w:rsid w:val="000C4612"/>
    <w:rsid w:val="000C4C03"/>
    <w:rsid w:val="000C5B78"/>
    <w:rsid w:val="000C698C"/>
    <w:rsid w:val="000C6DAE"/>
    <w:rsid w:val="000C7C71"/>
    <w:rsid w:val="000D3B07"/>
    <w:rsid w:val="000D7213"/>
    <w:rsid w:val="000D7307"/>
    <w:rsid w:val="000D7A97"/>
    <w:rsid w:val="000D7D0B"/>
    <w:rsid w:val="000E0E15"/>
    <w:rsid w:val="000E518E"/>
    <w:rsid w:val="000E6005"/>
    <w:rsid w:val="000E7C1C"/>
    <w:rsid w:val="000E7F4A"/>
    <w:rsid w:val="000F192B"/>
    <w:rsid w:val="0010092D"/>
    <w:rsid w:val="00101D94"/>
    <w:rsid w:val="001026CF"/>
    <w:rsid w:val="00103439"/>
    <w:rsid w:val="001053C3"/>
    <w:rsid w:val="00105C16"/>
    <w:rsid w:val="00106C83"/>
    <w:rsid w:val="00111ADB"/>
    <w:rsid w:val="00111E23"/>
    <w:rsid w:val="0011249A"/>
    <w:rsid w:val="001165AE"/>
    <w:rsid w:val="00116D81"/>
    <w:rsid w:val="00117960"/>
    <w:rsid w:val="001208DD"/>
    <w:rsid w:val="00120FFA"/>
    <w:rsid w:val="0012160B"/>
    <w:rsid w:val="00123F0A"/>
    <w:rsid w:val="001248A6"/>
    <w:rsid w:val="00126CBD"/>
    <w:rsid w:val="00127157"/>
    <w:rsid w:val="001304AD"/>
    <w:rsid w:val="00133739"/>
    <w:rsid w:val="00134553"/>
    <w:rsid w:val="00134FF0"/>
    <w:rsid w:val="00135853"/>
    <w:rsid w:val="00136A9A"/>
    <w:rsid w:val="00142014"/>
    <w:rsid w:val="00142CB0"/>
    <w:rsid w:val="00143F2D"/>
    <w:rsid w:val="00146CA5"/>
    <w:rsid w:val="001519E8"/>
    <w:rsid w:val="00152EC5"/>
    <w:rsid w:val="001543D4"/>
    <w:rsid w:val="0015450F"/>
    <w:rsid w:val="0015523D"/>
    <w:rsid w:val="001575B8"/>
    <w:rsid w:val="00161CAF"/>
    <w:rsid w:val="00162139"/>
    <w:rsid w:val="00162669"/>
    <w:rsid w:val="0016496D"/>
    <w:rsid w:val="00164CBD"/>
    <w:rsid w:val="00174686"/>
    <w:rsid w:val="001816A6"/>
    <w:rsid w:val="00186C23"/>
    <w:rsid w:val="00190753"/>
    <w:rsid w:val="0019126B"/>
    <w:rsid w:val="00191BFF"/>
    <w:rsid w:val="00192CCC"/>
    <w:rsid w:val="00192D64"/>
    <w:rsid w:val="00192FFF"/>
    <w:rsid w:val="001935E1"/>
    <w:rsid w:val="00194F95"/>
    <w:rsid w:val="00195DFE"/>
    <w:rsid w:val="001A1D27"/>
    <w:rsid w:val="001A37C6"/>
    <w:rsid w:val="001A582E"/>
    <w:rsid w:val="001A6342"/>
    <w:rsid w:val="001A652B"/>
    <w:rsid w:val="001B0B8E"/>
    <w:rsid w:val="001B2BA8"/>
    <w:rsid w:val="001B4AD8"/>
    <w:rsid w:val="001D19A9"/>
    <w:rsid w:val="001D2C3C"/>
    <w:rsid w:val="001D7DDF"/>
    <w:rsid w:val="001E00D9"/>
    <w:rsid w:val="001E18AC"/>
    <w:rsid w:val="001E510D"/>
    <w:rsid w:val="001E55CD"/>
    <w:rsid w:val="001E5F29"/>
    <w:rsid w:val="001E70D4"/>
    <w:rsid w:val="001F019F"/>
    <w:rsid w:val="001F07B9"/>
    <w:rsid w:val="001F11C9"/>
    <w:rsid w:val="001F30EE"/>
    <w:rsid w:val="001F33A0"/>
    <w:rsid w:val="001F3BF1"/>
    <w:rsid w:val="001F3C0E"/>
    <w:rsid w:val="001F453B"/>
    <w:rsid w:val="0020136B"/>
    <w:rsid w:val="00201B64"/>
    <w:rsid w:val="0020353C"/>
    <w:rsid w:val="00205758"/>
    <w:rsid w:val="00205C40"/>
    <w:rsid w:val="00207D36"/>
    <w:rsid w:val="00210D79"/>
    <w:rsid w:val="002125FF"/>
    <w:rsid w:val="00213330"/>
    <w:rsid w:val="002148A9"/>
    <w:rsid w:val="0021603C"/>
    <w:rsid w:val="00216604"/>
    <w:rsid w:val="002202B4"/>
    <w:rsid w:val="00220E16"/>
    <w:rsid w:val="00220E1F"/>
    <w:rsid w:val="0022224C"/>
    <w:rsid w:val="00222350"/>
    <w:rsid w:val="00225079"/>
    <w:rsid w:val="002266FB"/>
    <w:rsid w:val="00230827"/>
    <w:rsid w:val="002329B1"/>
    <w:rsid w:val="0023599E"/>
    <w:rsid w:val="00241B2E"/>
    <w:rsid w:val="002434A7"/>
    <w:rsid w:val="00243E6E"/>
    <w:rsid w:val="00245567"/>
    <w:rsid w:val="00251048"/>
    <w:rsid w:val="0025183D"/>
    <w:rsid w:val="0025354A"/>
    <w:rsid w:val="002536AC"/>
    <w:rsid w:val="00255F17"/>
    <w:rsid w:val="00260266"/>
    <w:rsid w:val="00261101"/>
    <w:rsid w:val="0026118D"/>
    <w:rsid w:val="002623D2"/>
    <w:rsid w:val="00264752"/>
    <w:rsid w:val="00266C1D"/>
    <w:rsid w:val="00267FCC"/>
    <w:rsid w:val="00274349"/>
    <w:rsid w:val="002769EA"/>
    <w:rsid w:val="00280288"/>
    <w:rsid w:val="0028258F"/>
    <w:rsid w:val="00284222"/>
    <w:rsid w:val="0028465C"/>
    <w:rsid w:val="00284A21"/>
    <w:rsid w:val="002851FB"/>
    <w:rsid w:val="00286B4B"/>
    <w:rsid w:val="002956C2"/>
    <w:rsid w:val="002A150F"/>
    <w:rsid w:val="002A2C89"/>
    <w:rsid w:val="002A2D73"/>
    <w:rsid w:val="002A3EC6"/>
    <w:rsid w:val="002A4F95"/>
    <w:rsid w:val="002B32FC"/>
    <w:rsid w:val="002B3A99"/>
    <w:rsid w:val="002B5024"/>
    <w:rsid w:val="002B7948"/>
    <w:rsid w:val="002C0375"/>
    <w:rsid w:val="002C1524"/>
    <w:rsid w:val="002C2C31"/>
    <w:rsid w:val="002C30A7"/>
    <w:rsid w:val="002C522F"/>
    <w:rsid w:val="002C62A6"/>
    <w:rsid w:val="002C6F73"/>
    <w:rsid w:val="002C7F97"/>
    <w:rsid w:val="002D11A3"/>
    <w:rsid w:val="002D16DB"/>
    <w:rsid w:val="002D2F34"/>
    <w:rsid w:val="002D4803"/>
    <w:rsid w:val="002E0263"/>
    <w:rsid w:val="002E06BD"/>
    <w:rsid w:val="002E149C"/>
    <w:rsid w:val="002E5C33"/>
    <w:rsid w:val="002E6ABC"/>
    <w:rsid w:val="002F0E56"/>
    <w:rsid w:val="002F0F92"/>
    <w:rsid w:val="002F52A7"/>
    <w:rsid w:val="002F560B"/>
    <w:rsid w:val="002F660C"/>
    <w:rsid w:val="003000CA"/>
    <w:rsid w:val="003010F2"/>
    <w:rsid w:val="00303809"/>
    <w:rsid w:val="00305947"/>
    <w:rsid w:val="00305CC3"/>
    <w:rsid w:val="00311B1F"/>
    <w:rsid w:val="00313DEC"/>
    <w:rsid w:val="003155D2"/>
    <w:rsid w:val="0031588D"/>
    <w:rsid w:val="00316E30"/>
    <w:rsid w:val="00317C18"/>
    <w:rsid w:val="00320332"/>
    <w:rsid w:val="00320996"/>
    <w:rsid w:val="003226F3"/>
    <w:rsid w:val="00323C4E"/>
    <w:rsid w:val="00330B40"/>
    <w:rsid w:val="0033515F"/>
    <w:rsid w:val="00335474"/>
    <w:rsid w:val="003363FB"/>
    <w:rsid w:val="00336BE8"/>
    <w:rsid w:val="00340BFC"/>
    <w:rsid w:val="00345754"/>
    <w:rsid w:val="003469F1"/>
    <w:rsid w:val="00346A8C"/>
    <w:rsid w:val="003501F6"/>
    <w:rsid w:val="00351FD4"/>
    <w:rsid w:val="003528AE"/>
    <w:rsid w:val="00353F5A"/>
    <w:rsid w:val="0035403B"/>
    <w:rsid w:val="00355767"/>
    <w:rsid w:val="00360520"/>
    <w:rsid w:val="003617B8"/>
    <w:rsid w:val="003619CD"/>
    <w:rsid w:val="00365E23"/>
    <w:rsid w:val="00366A62"/>
    <w:rsid w:val="00366BFF"/>
    <w:rsid w:val="0036747E"/>
    <w:rsid w:val="00367FA9"/>
    <w:rsid w:val="0037071A"/>
    <w:rsid w:val="0037385B"/>
    <w:rsid w:val="00383470"/>
    <w:rsid w:val="003839AB"/>
    <w:rsid w:val="003861D5"/>
    <w:rsid w:val="00391ABF"/>
    <w:rsid w:val="00392161"/>
    <w:rsid w:val="00395F99"/>
    <w:rsid w:val="0039687E"/>
    <w:rsid w:val="003A063D"/>
    <w:rsid w:val="003A1746"/>
    <w:rsid w:val="003A46E9"/>
    <w:rsid w:val="003B0E83"/>
    <w:rsid w:val="003B0E84"/>
    <w:rsid w:val="003B45C0"/>
    <w:rsid w:val="003B5F93"/>
    <w:rsid w:val="003B769E"/>
    <w:rsid w:val="003C0BEE"/>
    <w:rsid w:val="003C1AD3"/>
    <w:rsid w:val="003C1BE5"/>
    <w:rsid w:val="003C2077"/>
    <w:rsid w:val="003C2E3B"/>
    <w:rsid w:val="003C30BF"/>
    <w:rsid w:val="003C33A6"/>
    <w:rsid w:val="003C59FC"/>
    <w:rsid w:val="003D0AB5"/>
    <w:rsid w:val="003D1340"/>
    <w:rsid w:val="003D1C65"/>
    <w:rsid w:val="003D3799"/>
    <w:rsid w:val="003D583D"/>
    <w:rsid w:val="003D58FC"/>
    <w:rsid w:val="003E0471"/>
    <w:rsid w:val="003E0BC2"/>
    <w:rsid w:val="003E24F8"/>
    <w:rsid w:val="003E3CBD"/>
    <w:rsid w:val="003E3DEE"/>
    <w:rsid w:val="003E7B17"/>
    <w:rsid w:val="003F1776"/>
    <w:rsid w:val="003F4E89"/>
    <w:rsid w:val="003F698E"/>
    <w:rsid w:val="0040554F"/>
    <w:rsid w:val="00405EEC"/>
    <w:rsid w:val="0040653C"/>
    <w:rsid w:val="00406907"/>
    <w:rsid w:val="00406E86"/>
    <w:rsid w:val="00407B05"/>
    <w:rsid w:val="00410CAB"/>
    <w:rsid w:val="00413FC0"/>
    <w:rsid w:val="004145B2"/>
    <w:rsid w:val="00415554"/>
    <w:rsid w:val="00421E3C"/>
    <w:rsid w:val="004228DD"/>
    <w:rsid w:val="004237CA"/>
    <w:rsid w:val="004238BC"/>
    <w:rsid w:val="00425B7D"/>
    <w:rsid w:val="00430F77"/>
    <w:rsid w:val="00432EBC"/>
    <w:rsid w:val="00441B6E"/>
    <w:rsid w:val="00442EB8"/>
    <w:rsid w:val="00442EDC"/>
    <w:rsid w:val="00444AD2"/>
    <w:rsid w:val="00444B4E"/>
    <w:rsid w:val="00444B5E"/>
    <w:rsid w:val="004476C3"/>
    <w:rsid w:val="00447931"/>
    <w:rsid w:val="00447D76"/>
    <w:rsid w:val="00452A0A"/>
    <w:rsid w:val="00453C6A"/>
    <w:rsid w:val="004546AB"/>
    <w:rsid w:val="00455C8B"/>
    <w:rsid w:val="00460901"/>
    <w:rsid w:val="00462650"/>
    <w:rsid w:val="00470727"/>
    <w:rsid w:val="00472192"/>
    <w:rsid w:val="0047229B"/>
    <w:rsid w:val="00472F7C"/>
    <w:rsid w:val="004843F9"/>
    <w:rsid w:val="00486355"/>
    <w:rsid w:val="00486A29"/>
    <w:rsid w:val="00486B85"/>
    <w:rsid w:val="004873DD"/>
    <w:rsid w:val="0048770D"/>
    <w:rsid w:val="00487D34"/>
    <w:rsid w:val="00492036"/>
    <w:rsid w:val="00492045"/>
    <w:rsid w:val="0049241E"/>
    <w:rsid w:val="00492A2E"/>
    <w:rsid w:val="00495B68"/>
    <w:rsid w:val="004960DF"/>
    <w:rsid w:val="00497DEE"/>
    <w:rsid w:val="004A299F"/>
    <w:rsid w:val="004A4F80"/>
    <w:rsid w:val="004B079A"/>
    <w:rsid w:val="004B19D0"/>
    <w:rsid w:val="004B49CD"/>
    <w:rsid w:val="004B4CF8"/>
    <w:rsid w:val="004C146B"/>
    <w:rsid w:val="004C1D84"/>
    <w:rsid w:val="004C3F82"/>
    <w:rsid w:val="004C5F07"/>
    <w:rsid w:val="004D20A4"/>
    <w:rsid w:val="004D21A7"/>
    <w:rsid w:val="004D2FBE"/>
    <w:rsid w:val="004D4A29"/>
    <w:rsid w:val="004D6606"/>
    <w:rsid w:val="004D73C3"/>
    <w:rsid w:val="004E6016"/>
    <w:rsid w:val="004E6F3B"/>
    <w:rsid w:val="004F0557"/>
    <w:rsid w:val="004F2D90"/>
    <w:rsid w:val="004F42CB"/>
    <w:rsid w:val="004F4CF9"/>
    <w:rsid w:val="004F7901"/>
    <w:rsid w:val="0050076F"/>
    <w:rsid w:val="00503CDD"/>
    <w:rsid w:val="00506F5C"/>
    <w:rsid w:val="00507C75"/>
    <w:rsid w:val="005104A4"/>
    <w:rsid w:val="0051274A"/>
    <w:rsid w:val="005129AB"/>
    <w:rsid w:val="00515988"/>
    <w:rsid w:val="00515DBA"/>
    <w:rsid w:val="005179B0"/>
    <w:rsid w:val="00517E80"/>
    <w:rsid w:val="00520482"/>
    <w:rsid w:val="005215E0"/>
    <w:rsid w:val="00523D5B"/>
    <w:rsid w:val="00523EA3"/>
    <w:rsid w:val="0052506F"/>
    <w:rsid w:val="00525A58"/>
    <w:rsid w:val="00527F62"/>
    <w:rsid w:val="00537615"/>
    <w:rsid w:val="00541825"/>
    <w:rsid w:val="005426BA"/>
    <w:rsid w:val="00544A5D"/>
    <w:rsid w:val="00547AD7"/>
    <w:rsid w:val="00550495"/>
    <w:rsid w:val="00550FDD"/>
    <w:rsid w:val="00552077"/>
    <w:rsid w:val="00552691"/>
    <w:rsid w:val="0055474A"/>
    <w:rsid w:val="00554A09"/>
    <w:rsid w:val="00556983"/>
    <w:rsid w:val="00557851"/>
    <w:rsid w:val="00560FC4"/>
    <w:rsid w:val="005657AD"/>
    <w:rsid w:val="00565FDF"/>
    <w:rsid w:val="00566723"/>
    <w:rsid w:val="00567A71"/>
    <w:rsid w:val="005718DF"/>
    <w:rsid w:val="00573B17"/>
    <w:rsid w:val="005748E7"/>
    <w:rsid w:val="0057630C"/>
    <w:rsid w:val="0057734E"/>
    <w:rsid w:val="005865B8"/>
    <w:rsid w:val="005874FE"/>
    <w:rsid w:val="00587BDA"/>
    <w:rsid w:val="00596609"/>
    <w:rsid w:val="00596DC3"/>
    <w:rsid w:val="00596E5F"/>
    <w:rsid w:val="00597B18"/>
    <w:rsid w:val="005A04B3"/>
    <w:rsid w:val="005A22E4"/>
    <w:rsid w:val="005A2DF6"/>
    <w:rsid w:val="005A3E3B"/>
    <w:rsid w:val="005A4BCE"/>
    <w:rsid w:val="005A53D6"/>
    <w:rsid w:val="005A558F"/>
    <w:rsid w:val="005B2906"/>
    <w:rsid w:val="005B338D"/>
    <w:rsid w:val="005B4B05"/>
    <w:rsid w:val="005B77E1"/>
    <w:rsid w:val="005C254C"/>
    <w:rsid w:val="005C2B04"/>
    <w:rsid w:val="005C33FC"/>
    <w:rsid w:val="005C566B"/>
    <w:rsid w:val="005D041E"/>
    <w:rsid w:val="005D7BD2"/>
    <w:rsid w:val="005E35CB"/>
    <w:rsid w:val="005E5591"/>
    <w:rsid w:val="005E5653"/>
    <w:rsid w:val="005F1919"/>
    <w:rsid w:val="005F5AD2"/>
    <w:rsid w:val="005F783A"/>
    <w:rsid w:val="006005CA"/>
    <w:rsid w:val="00601A8A"/>
    <w:rsid w:val="00603DCC"/>
    <w:rsid w:val="00607193"/>
    <w:rsid w:val="006122DF"/>
    <w:rsid w:val="006125A9"/>
    <w:rsid w:val="00613663"/>
    <w:rsid w:val="00614245"/>
    <w:rsid w:val="00615D66"/>
    <w:rsid w:val="00616875"/>
    <w:rsid w:val="0061787B"/>
    <w:rsid w:val="00620496"/>
    <w:rsid w:val="006208F8"/>
    <w:rsid w:val="00620E9D"/>
    <w:rsid w:val="00621156"/>
    <w:rsid w:val="0062248D"/>
    <w:rsid w:val="00623C25"/>
    <w:rsid w:val="00624B7B"/>
    <w:rsid w:val="00625EE6"/>
    <w:rsid w:val="00626E28"/>
    <w:rsid w:val="00626E78"/>
    <w:rsid w:val="00627E1A"/>
    <w:rsid w:val="006315D7"/>
    <w:rsid w:val="006334CB"/>
    <w:rsid w:val="00637509"/>
    <w:rsid w:val="006378A7"/>
    <w:rsid w:val="006404D3"/>
    <w:rsid w:val="006424A0"/>
    <w:rsid w:val="00642693"/>
    <w:rsid w:val="00643180"/>
    <w:rsid w:val="006466BA"/>
    <w:rsid w:val="00650BD9"/>
    <w:rsid w:val="00651B15"/>
    <w:rsid w:val="00652944"/>
    <w:rsid w:val="00660BFA"/>
    <w:rsid w:val="00660DA2"/>
    <w:rsid w:val="006659AB"/>
    <w:rsid w:val="006672F9"/>
    <w:rsid w:val="0067038F"/>
    <w:rsid w:val="006712F9"/>
    <w:rsid w:val="00672F15"/>
    <w:rsid w:val="006738EC"/>
    <w:rsid w:val="0067525C"/>
    <w:rsid w:val="00676D09"/>
    <w:rsid w:val="0067704A"/>
    <w:rsid w:val="0067705D"/>
    <w:rsid w:val="006772D2"/>
    <w:rsid w:val="00677775"/>
    <w:rsid w:val="00680102"/>
    <w:rsid w:val="00680CEF"/>
    <w:rsid w:val="0068143C"/>
    <w:rsid w:val="006817E5"/>
    <w:rsid w:val="006855EA"/>
    <w:rsid w:val="00690310"/>
    <w:rsid w:val="00691E79"/>
    <w:rsid w:val="00692738"/>
    <w:rsid w:val="006935E5"/>
    <w:rsid w:val="00694818"/>
    <w:rsid w:val="006A092C"/>
    <w:rsid w:val="006A0F0F"/>
    <w:rsid w:val="006A20A2"/>
    <w:rsid w:val="006A7EE1"/>
    <w:rsid w:val="006B00D5"/>
    <w:rsid w:val="006B089B"/>
    <w:rsid w:val="006B1392"/>
    <w:rsid w:val="006B49F1"/>
    <w:rsid w:val="006B5E07"/>
    <w:rsid w:val="006B7896"/>
    <w:rsid w:val="006B7EEC"/>
    <w:rsid w:val="006C0A08"/>
    <w:rsid w:val="006C247C"/>
    <w:rsid w:val="006C7F94"/>
    <w:rsid w:val="006D0F26"/>
    <w:rsid w:val="006D20D6"/>
    <w:rsid w:val="006D2624"/>
    <w:rsid w:val="006D6274"/>
    <w:rsid w:val="006D66B4"/>
    <w:rsid w:val="006D79B6"/>
    <w:rsid w:val="006E00CA"/>
    <w:rsid w:val="006E0F8D"/>
    <w:rsid w:val="006E213E"/>
    <w:rsid w:val="006E27A2"/>
    <w:rsid w:val="006E301B"/>
    <w:rsid w:val="006E41B9"/>
    <w:rsid w:val="006E4FDF"/>
    <w:rsid w:val="006E55DF"/>
    <w:rsid w:val="006F1B12"/>
    <w:rsid w:val="006F2738"/>
    <w:rsid w:val="006F2B76"/>
    <w:rsid w:val="006F3874"/>
    <w:rsid w:val="006F3AB3"/>
    <w:rsid w:val="006F42DC"/>
    <w:rsid w:val="00706019"/>
    <w:rsid w:val="00707972"/>
    <w:rsid w:val="00713167"/>
    <w:rsid w:val="00713270"/>
    <w:rsid w:val="00714093"/>
    <w:rsid w:val="0071791A"/>
    <w:rsid w:val="00722EB4"/>
    <w:rsid w:val="00725495"/>
    <w:rsid w:val="00725F84"/>
    <w:rsid w:val="00727FD5"/>
    <w:rsid w:val="0073144D"/>
    <w:rsid w:val="00731D98"/>
    <w:rsid w:val="00733263"/>
    <w:rsid w:val="00734518"/>
    <w:rsid w:val="0073497F"/>
    <w:rsid w:val="00735F71"/>
    <w:rsid w:val="007360BF"/>
    <w:rsid w:val="0074155B"/>
    <w:rsid w:val="007415E4"/>
    <w:rsid w:val="00741B84"/>
    <w:rsid w:val="00742419"/>
    <w:rsid w:val="00745EDA"/>
    <w:rsid w:val="007517B7"/>
    <w:rsid w:val="00752421"/>
    <w:rsid w:val="007546EF"/>
    <w:rsid w:val="007559F3"/>
    <w:rsid w:val="00755D74"/>
    <w:rsid w:val="007670FC"/>
    <w:rsid w:val="00774BCA"/>
    <w:rsid w:val="00775B81"/>
    <w:rsid w:val="00776EE9"/>
    <w:rsid w:val="007800A6"/>
    <w:rsid w:val="00780DD2"/>
    <w:rsid w:val="0078103E"/>
    <w:rsid w:val="0078585D"/>
    <w:rsid w:val="007909A2"/>
    <w:rsid w:val="00792D43"/>
    <w:rsid w:val="007950E3"/>
    <w:rsid w:val="007969A7"/>
    <w:rsid w:val="00796AA4"/>
    <w:rsid w:val="007A0EE0"/>
    <w:rsid w:val="007A1619"/>
    <w:rsid w:val="007A2FFD"/>
    <w:rsid w:val="007A4A73"/>
    <w:rsid w:val="007A6050"/>
    <w:rsid w:val="007A721A"/>
    <w:rsid w:val="007B038A"/>
    <w:rsid w:val="007B3A96"/>
    <w:rsid w:val="007B4685"/>
    <w:rsid w:val="007B5A6D"/>
    <w:rsid w:val="007B5BBD"/>
    <w:rsid w:val="007B6B93"/>
    <w:rsid w:val="007B6F05"/>
    <w:rsid w:val="007B70D1"/>
    <w:rsid w:val="007B7A0F"/>
    <w:rsid w:val="007C026E"/>
    <w:rsid w:val="007C28B1"/>
    <w:rsid w:val="007C483E"/>
    <w:rsid w:val="007C4CF9"/>
    <w:rsid w:val="007C55B9"/>
    <w:rsid w:val="007C58AF"/>
    <w:rsid w:val="007C6D13"/>
    <w:rsid w:val="007C7F91"/>
    <w:rsid w:val="007D29F7"/>
    <w:rsid w:val="007D2B14"/>
    <w:rsid w:val="007D4161"/>
    <w:rsid w:val="007D429E"/>
    <w:rsid w:val="007D4436"/>
    <w:rsid w:val="007D459B"/>
    <w:rsid w:val="007E08DF"/>
    <w:rsid w:val="007E31A2"/>
    <w:rsid w:val="007E75A7"/>
    <w:rsid w:val="007F0B5C"/>
    <w:rsid w:val="007F211A"/>
    <w:rsid w:val="007F3BE7"/>
    <w:rsid w:val="007F7532"/>
    <w:rsid w:val="0080014B"/>
    <w:rsid w:val="008015CF"/>
    <w:rsid w:val="00803BA0"/>
    <w:rsid w:val="00804C78"/>
    <w:rsid w:val="00805FEE"/>
    <w:rsid w:val="00806D66"/>
    <w:rsid w:val="00807A1B"/>
    <w:rsid w:val="00811615"/>
    <w:rsid w:val="00812148"/>
    <w:rsid w:val="00815348"/>
    <w:rsid w:val="008206FE"/>
    <w:rsid w:val="00825C3E"/>
    <w:rsid w:val="00825FD4"/>
    <w:rsid w:val="00830C53"/>
    <w:rsid w:val="00832C15"/>
    <w:rsid w:val="00833295"/>
    <w:rsid w:val="00835473"/>
    <w:rsid w:val="00835B01"/>
    <w:rsid w:val="00836551"/>
    <w:rsid w:val="0083791E"/>
    <w:rsid w:val="0084094A"/>
    <w:rsid w:val="008469E2"/>
    <w:rsid w:val="00857272"/>
    <w:rsid w:val="00857667"/>
    <w:rsid w:val="008602D5"/>
    <w:rsid w:val="008617A3"/>
    <w:rsid w:val="00862FC7"/>
    <w:rsid w:val="00863A21"/>
    <w:rsid w:val="00864A63"/>
    <w:rsid w:val="00865284"/>
    <w:rsid w:val="00871CED"/>
    <w:rsid w:val="0087221C"/>
    <w:rsid w:val="00872F59"/>
    <w:rsid w:val="0087404B"/>
    <w:rsid w:val="00874D73"/>
    <w:rsid w:val="008772F2"/>
    <w:rsid w:val="008815AA"/>
    <w:rsid w:val="00883F65"/>
    <w:rsid w:val="00884FAA"/>
    <w:rsid w:val="008861A9"/>
    <w:rsid w:val="00886DC6"/>
    <w:rsid w:val="00891EEF"/>
    <w:rsid w:val="00893B79"/>
    <w:rsid w:val="00894231"/>
    <w:rsid w:val="0089756F"/>
    <w:rsid w:val="00897669"/>
    <w:rsid w:val="008A29B4"/>
    <w:rsid w:val="008A3D5E"/>
    <w:rsid w:val="008B0A6D"/>
    <w:rsid w:val="008B3407"/>
    <w:rsid w:val="008B47F0"/>
    <w:rsid w:val="008B5078"/>
    <w:rsid w:val="008B6B08"/>
    <w:rsid w:val="008B6FE8"/>
    <w:rsid w:val="008C7016"/>
    <w:rsid w:val="008C7537"/>
    <w:rsid w:val="008D1FC7"/>
    <w:rsid w:val="008D492F"/>
    <w:rsid w:val="008D6B67"/>
    <w:rsid w:val="008D6DBE"/>
    <w:rsid w:val="008E1C2A"/>
    <w:rsid w:val="008E66C1"/>
    <w:rsid w:val="008E755F"/>
    <w:rsid w:val="008E7C30"/>
    <w:rsid w:val="008F054E"/>
    <w:rsid w:val="008F0EC6"/>
    <w:rsid w:val="008F26A5"/>
    <w:rsid w:val="008F282A"/>
    <w:rsid w:val="008F3B8B"/>
    <w:rsid w:val="008F3F49"/>
    <w:rsid w:val="008F51B6"/>
    <w:rsid w:val="008F534F"/>
    <w:rsid w:val="008F7547"/>
    <w:rsid w:val="00902500"/>
    <w:rsid w:val="00906A9A"/>
    <w:rsid w:val="009109CA"/>
    <w:rsid w:val="00911195"/>
    <w:rsid w:val="00911B37"/>
    <w:rsid w:val="009126D5"/>
    <w:rsid w:val="009137CD"/>
    <w:rsid w:val="0091486E"/>
    <w:rsid w:val="00915AAF"/>
    <w:rsid w:val="00917925"/>
    <w:rsid w:val="009219E6"/>
    <w:rsid w:val="0092380B"/>
    <w:rsid w:val="00926BFA"/>
    <w:rsid w:val="00927853"/>
    <w:rsid w:val="0092797D"/>
    <w:rsid w:val="00931519"/>
    <w:rsid w:val="00931804"/>
    <w:rsid w:val="00931889"/>
    <w:rsid w:val="00932E75"/>
    <w:rsid w:val="0093552B"/>
    <w:rsid w:val="00941E4B"/>
    <w:rsid w:val="0094565C"/>
    <w:rsid w:val="0094731A"/>
    <w:rsid w:val="009500CC"/>
    <w:rsid w:val="00950823"/>
    <w:rsid w:val="00950F0F"/>
    <w:rsid w:val="009518F2"/>
    <w:rsid w:val="0095257C"/>
    <w:rsid w:val="00952CCE"/>
    <w:rsid w:val="0095465E"/>
    <w:rsid w:val="0095490A"/>
    <w:rsid w:val="009554C1"/>
    <w:rsid w:val="009560B3"/>
    <w:rsid w:val="009575C4"/>
    <w:rsid w:val="00957734"/>
    <w:rsid w:val="0096133B"/>
    <w:rsid w:val="009725CE"/>
    <w:rsid w:val="009804DC"/>
    <w:rsid w:val="00983300"/>
    <w:rsid w:val="009834C6"/>
    <w:rsid w:val="00984D06"/>
    <w:rsid w:val="00985375"/>
    <w:rsid w:val="0098699F"/>
    <w:rsid w:val="00987925"/>
    <w:rsid w:val="00992CCF"/>
    <w:rsid w:val="00994286"/>
    <w:rsid w:val="009945AF"/>
    <w:rsid w:val="00995692"/>
    <w:rsid w:val="009A03E0"/>
    <w:rsid w:val="009A1E00"/>
    <w:rsid w:val="009A4150"/>
    <w:rsid w:val="009A5751"/>
    <w:rsid w:val="009A5E2D"/>
    <w:rsid w:val="009A64EB"/>
    <w:rsid w:val="009A67AF"/>
    <w:rsid w:val="009B4B40"/>
    <w:rsid w:val="009B5B17"/>
    <w:rsid w:val="009B70CF"/>
    <w:rsid w:val="009B7893"/>
    <w:rsid w:val="009C083D"/>
    <w:rsid w:val="009C08E8"/>
    <w:rsid w:val="009C206A"/>
    <w:rsid w:val="009C2CF3"/>
    <w:rsid w:val="009C39C1"/>
    <w:rsid w:val="009C4A1C"/>
    <w:rsid w:val="009C589B"/>
    <w:rsid w:val="009C5BFC"/>
    <w:rsid w:val="009D107D"/>
    <w:rsid w:val="009D1A1E"/>
    <w:rsid w:val="009D3AC9"/>
    <w:rsid w:val="009D3B21"/>
    <w:rsid w:val="009D3D65"/>
    <w:rsid w:val="009D457B"/>
    <w:rsid w:val="009D498A"/>
    <w:rsid w:val="009D79EC"/>
    <w:rsid w:val="009E06DB"/>
    <w:rsid w:val="009E0BDC"/>
    <w:rsid w:val="009E1DC4"/>
    <w:rsid w:val="009E1DFA"/>
    <w:rsid w:val="009E2088"/>
    <w:rsid w:val="009E39CE"/>
    <w:rsid w:val="009E6991"/>
    <w:rsid w:val="009E766E"/>
    <w:rsid w:val="009E7D1A"/>
    <w:rsid w:val="009F0076"/>
    <w:rsid w:val="009F143D"/>
    <w:rsid w:val="009F29D7"/>
    <w:rsid w:val="009F50A5"/>
    <w:rsid w:val="009F5AC0"/>
    <w:rsid w:val="00A02524"/>
    <w:rsid w:val="00A0312C"/>
    <w:rsid w:val="00A031D5"/>
    <w:rsid w:val="00A063A0"/>
    <w:rsid w:val="00A11BB0"/>
    <w:rsid w:val="00A15FD9"/>
    <w:rsid w:val="00A17200"/>
    <w:rsid w:val="00A2037E"/>
    <w:rsid w:val="00A20B90"/>
    <w:rsid w:val="00A20BB9"/>
    <w:rsid w:val="00A210A0"/>
    <w:rsid w:val="00A210D8"/>
    <w:rsid w:val="00A2113E"/>
    <w:rsid w:val="00A227F0"/>
    <w:rsid w:val="00A228DC"/>
    <w:rsid w:val="00A238A8"/>
    <w:rsid w:val="00A25A59"/>
    <w:rsid w:val="00A25D37"/>
    <w:rsid w:val="00A27241"/>
    <w:rsid w:val="00A3295B"/>
    <w:rsid w:val="00A3327B"/>
    <w:rsid w:val="00A33D39"/>
    <w:rsid w:val="00A3678C"/>
    <w:rsid w:val="00A376E6"/>
    <w:rsid w:val="00A41492"/>
    <w:rsid w:val="00A42132"/>
    <w:rsid w:val="00A4225C"/>
    <w:rsid w:val="00A439D0"/>
    <w:rsid w:val="00A441EA"/>
    <w:rsid w:val="00A44A6D"/>
    <w:rsid w:val="00A47FAF"/>
    <w:rsid w:val="00A50686"/>
    <w:rsid w:val="00A51201"/>
    <w:rsid w:val="00A51441"/>
    <w:rsid w:val="00A53424"/>
    <w:rsid w:val="00A53819"/>
    <w:rsid w:val="00A54947"/>
    <w:rsid w:val="00A55981"/>
    <w:rsid w:val="00A55FD3"/>
    <w:rsid w:val="00A6012E"/>
    <w:rsid w:val="00A61BE8"/>
    <w:rsid w:val="00A6386C"/>
    <w:rsid w:val="00A638B5"/>
    <w:rsid w:val="00A6520F"/>
    <w:rsid w:val="00A66B36"/>
    <w:rsid w:val="00A70657"/>
    <w:rsid w:val="00A70BF9"/>
    <w:rsid w:val="00A8247C"/>
    <w:rsid w:val="00A8254C"/>
    <w:rsid w:val="00A83744"/>
    <w:rsid w:val="00A853A3"/>
    <w:rsid w:val="00A863E0"/>
    <w:rsid w:val="00A86682"/>
    <w:rsid w:val="00A87751"/>
    <w:rsid w:val="00A90551"/>
    <w:rsid w:val="00A90B23"/>
    <w:rsid w:val="00A9196A"/>
    <w:rsid w:val="00A92EA6"/>
    <w:rsid w:val="00A94231"/>
    <w:rsid w:val="00A9478B"/>
    <w:rsid w:val="00A9617A"/>
    <w:rsid w:val="00A9666A"/>
    <w:rsid w:val="00AA0268"/>
    <w:rsid w:val="00AA1809"/>
    <w:rsid w:val="00AA309C"/>
    <w:rsid w:val="00AA4899"/>
    <w:rsid w:val="00AA6E64"/>
    <w:rsid w:val="00AB0569"/>
    <w:rsid w:val="00AB13A9"/>
    <w:rsid w:val="00AB4DB4"/>
    <w:rsid w:val="00AB723E"/>
    <w:rsid w:val="00AB7884"/>
    <w:rsid w:val="00AC0218"/>
    <w:rsid w:val="00AC4C7A"/>
    <w:rsid w:val="00AD055C"/>
    <w:rsid w:val="00AD2C41"/>
    <w:rsid w:val="00AD7256"/>
    <w:rsid w:val="00AE0A60"/>
    <w:rsid w:val="00AE347B"/>
    <w:rsid w:val="00AE4F58"/>
    <w:rsid w:val="00AE5C96"/>
    <w:rsid w:val="00AE703D"/>
    <w:rsid w:val="00AF041E"/>
    <w:rsid w:val="00AF1131"/>
    <w:rsid w:val="00AF2CAB"/>
    <w:rsid w:val="00AF554E"/>
    <w:rsid w:val="00AF5A12"/>
    <w:rsid w:val="00B02822"/>
    <w:rsid w:val="00B05852"/>
    <w:rsid w:val="00B13E87"/>
    <w:rsid w:val="00B22AB7"/>
    <w:rsid w:val="00B22D32"/>
    <w:rsid w:val="00B24D0E"/>
    <w:rsid w:val="00B25612"/>
    <w:rsid w:val="00B2592F"/>
    <w:rsid w:val="00B26FEF"/>
    <w:rsid w:val="00B32A00"/>
    <w:rsid w:val="00B32FF0"/>
    <w:rsid w:val="00B33A9F"/>
    <w:rsid w:val="00B36475"/>
    <w:rsid w:val="00B3721A"/>
    <w:rsid w:val="00B41226"/>
    <w:rsid w:val="00B41B96"/>
    <w:rsid w:val="00B42BC5"/>
    <w:rsid w:val="00B42F6B"/>
    <w:rsid w:val="00B504E4"/>
    <w:rsid w:val="00B5227A"/>
    <w:rsid w:val="00B5274C"/>
    <w:rsid w:val="00B52DDB"/>
    <w:rsid w:val="00B5317B"/>
    <w:rsid w:val="00B54244"/>
    <w:rsid w:val="00B57391"/>
    <w:rsid w:val="00B57791"/>
    <w:rsid w:val="00B602B4"/>
    <w:rsid w:val="00B742B7"/>
    <w:rsid w:val="00B76F38"/>
    <w:rsid w:val="00B775A2"/>
    <w:rsid w:val="00B827A6"/>
    <w:rsid w:val="00B833A5"/>
    <w:rsid w:val="00B83692"/>
    <w:rsid w:val="00B85D54"/>
    <w:rsid w:val="00B874D0"/>
    <w:rsid w:val="00B90A53"/>
    <w:rsid w:val="00B92320"/>
    <w:rsid w:val="00BA1C8A"/>
    <w:rsid w:val="00BA1CFA"/>
    <w:rsid w:val="00BA285D"/>
    <w:rsid w:val="00BA38EE"/>
    <w:rsid w:val="00BA4E66"/>
    <w:rsid w:val="00BA5148"/>
    <w:rsid w:val="00BB2A0F"/>
    <w:rsid w:val="00BB60EC"/>
    <w:rsid w:val="00BC059B"/>
    <w:rsid w:val="00BC1CB9"/>
    <w:rsid w:val="00BC3348"/>
    <w:rsid w:val="00BC349C"/>
    <w:rsid w:val="00BC359A"/>
    <w:rsid w:val="00BC3D7B"/>
    <w:rsid w:val="00BC586C"/>
    <w:rsid w:val="00BC5CD5"/>
    <w:rsid w:val="00BC7D20"/>
    <w:rsid w:val="00BD0831"/>
    <w:rsid w:val="00BD1385"/>
    <w:rsid w:val="00BD5293"/>
    <w:rsid w:val="00BD5EE0"/>
    <w:rsid w:val="00BD6D2D"/>
    <w:rsid w:val="00BD7DE3"/>
    <w:rsid w:val="00BE16A5"/>
    <w:rsid w:val="00BE3687"/>
    <w:rsid w:val="00BE4A74"/>
    <w:rsid w:val="00BF1CCE"/>
    <w:rsid w:val="00BF269B"/>
    <w:rsid w:val="00BF2AB3"/>
    <w:rsid w:val="00BF3340"/>
    <w:rsid w:val="00BF47D6"/>
    <w:rsid w:val="00BF4E96"/>
    <w:rsid w:val="00BF4FF6"/>
    <w:rsid w:val="00BF68B8"/>
    <w:rsid w:val="00BF6BE4"/>
    <w:rsid w:val="00C0165F"/>
    <w:rsid w:val="00C02411"/>
    <w:rsid w:val="00C048BA"/>
    <w:rsid w:val="00C07342"/>
    <w:rsid w:val="00C07AA8"/>
    <w:rsid w:val="00C07C35"/>
    <w:rsid w:val="00C111A1"/>
    <w:rsid w:val="00C122E3"/>
    <w:rsid w:val="00C125F5"/>
    <w:rsid w:val="00C12A50"/>
    <w:rsid w:val="00C163D1"/>
    <w:rsid w:val="00C179E6"/>
    <w:rsid w:val="00C20A73"/>
    <w:rsid w:val="00C22278"/>
    <w:rsid w:val="00C236A3"/>
    <w:rsid w:val="00C258C7"/>
    <w:rsid w:val="00C2724C"/>
    <w:rsid w:val="00C301E9"/>
    <w:rsid w:val="00C30681"/>
    <w:rsid w:val="00C34A6C"/>
    <w:rsid w:val="00C35E80"/>
    <w:rsid w:val="00C363E7"/>
    <w:rsid w:val="00C50C30"/>
    <w:rsid w:val="00C55C44"/>
    <w:rsid w:val="00C575E4"/>
    <w:rsid w:val="00C5763C"/>
    <w:rsid w:val="00C6003D"/>
    <w:rsid w:val="00C61DAC"/>
    <w:rsid w:val="00C6231D"/>
    <w:rsid w:val="00C63BD2"/>
    <w:rsid w:val="00C6508D"/>
    <w:rsid w:val="00C654A3"/>
    <w:rsid w:val="00C65930"/>
    <w:rsid w:val="00C65A98"/>
    <w:rsid w:val="00C7020B"/>
    <w:rsid w:val="00C74FA7"/>
    <w:rsid w:val="00C7519F"/>
    <w:rsid w:val="00C77B1D"/>
    <w:rsid w:val="00C8041C"/>
    <w:rsid w:val="00C829C1"/>
    <w:rsid w:val="00C8516F"/>
    <w:rsid w:val="00C91828"/>
    <w:rsid w:val="00C93444"/>
    <w:rsid w:val="00C93D5B"/>
    <w:rsid w:val="00C93EFA"/>
    <w:rsid w:val="00C94BA7"/>
    <w:rsid w:val="00C954EA"/>
    <w:rsid w:val="00C96DF2"/>
    <w:rsid w:val="00CA011F"/>
    <w:rsid w:val="00CA4D76"/>
    <w:rsid w:val="00CA5FD0"/>
    <w:rsid w:val="00CA77FB"/>
    <w:rsid w:val="00CA7E99"/>
    <w:rsid w:val="00CB038D"/>
    <w:rsid w:val="00CB1A5A"/>
    <w:rsid w:val="00CB1EDC"/>
    <w:rsid w:val="00CB612C"/>
    <w:rsid w:val="00CB68F4"/>
    <w:rsid w:val="00CB7396"/>
    <w:rsid w:val="00CB7D73"/>
    <w:rsid w:val="00CC0B03"/>
    <w:rsid w:val="00CC46AA"/>
    <w:rsid w:val="00CC4A20"/>
    <w:rsid w:val="00CC5665"/>
    <w:rsid w:val="00CC5ECB"/>
    <w:rsid w:val="00CC7B51"/>
    <w:rsid w:val="00CD0740"/>
    <w:rsid w:val="00CD0D77"/>
    <w:rsid w:val="00CD37F4"/>
    <w:rsid w:val="00CE0003"/>
    <w:rsid w:val="00CE6BC0"/>
    <w:rsid w:val="00CF0D8A"/>
    <w:rsid w:val="00CF2AC6"/>
    <w:rsid w:val="00CF5AA9"/>
    <w:rsid w:val="00CF72AD"/>
    <w:rsid w:val="00CF75EC"/>
    <w:rsid w:val="00D02CE3"/>
    <w:rsid w:val="00D03627"/>
    <w:rsid w:val="00D10061"/>
    <w:rsid w:val="00D1272F"/>
    <w:rsid w:val="00D13000"/>
    <w:rsid w:val="00D1300A"/>
    <w:rsid w:val="00D147CD"/>
    <w:rsid w:val="00D24145"/>
    <w:rsid w:val="00D2501F"/>
    <w:rsid w:val="00D27A20"/>
    <w:rsid w:val="00D3296E"/>
    <w:rsid w:val="00D408C2"/>
    <w:rsid w:val="00D413EC"/>
    <w:rsid w:val="00D42BD7"/>
    <w:rsid w:val="00D4421B"/>
    <w:rsid w:val="00D472FC"/>
    <w:rsid w:val="00D50EC9"/>
    <w:rsid w:val="00D511DD"/>
    <w:rsid w:val="00D52AC5"/>
    <w:rsid w:val="00D5354B"/>
    <w:rsid w:val="00D56137"/>
    <w:rsid w:val="00D61583"/>
    <w:rsid w:val="00D63A5E"/>
    <w:rsid w:val="00D64D7A"/>
    <w:rsid w:val="00D64E6F"/>
    <w:rsid w:val="00D654B6"/>
    <w:rsid w:val="00D74352"/>
    <w:rsid w:val="00D74709"/>
    <w:rsid w:val="00D75ABC"/>
    <w:rsid w:val="00D76FBD"/>
    <w:rsid w:val="00D773D6"/>
    <w:rsid w:val="00D80036"/>
    <w:rsid w:val="00D80ECF"/>
    <w:rsid w:val="00D816F2"/>
    <w:rsid w:val="00D82472"/>
    <w:rsid w:val="00D84DCC"/>
    <w:rsid w:val="00D85D8D"/>
    <w:rsid w:val="00D929D4"/>
    <w:rsid w:val="00D9639B"/>
    <w:rsid w:val="00D966A1"/>
    <w:rsid w:val="00D971BC"/>
    <w:rsid w:val="00DA3183"/>
    <w:rsid w:val="00DA7DAD"/>
    <w:rsid w:val="00DB04A8"/>
    <w:rsid w:val="00DB0851"/>
    <w:rsid w:val="00DB18BB"/>
    <w:rsid w:val="00DB2558"/>
    <w:rsid w:val="00DB2745"/>
    <w:rsid w:val="00DB2762"/>
    <w:rsid w:val="00DB410A"/>
    <w:rsid w:val="00DB444C"/>
    <w:rsid w:val="00DB4505"/>
    <w:rsid w:val="00DB67D5"/>
    <w:rsid w:val="00DC4DE8"/>
    <w:rsid w:val="00DC6786"/>
    <w:rsid w:val="00DC752F"/>
    <w:rsid w:val="00DD0368"/>
    <w:rsid w:val="00DD256F"/>
    <w:rsid w:val="00DD4115"/>
    <w:rsid w:val="00DE2F92"/>
    <w:rsid w:val="00DE3EE9"/>
    <w:rsid w:val="00DE50BF"/>
    <w:rsid w:val="00DE56EA"/>
    <w:rsid w:val="00DE6569"/>
    <w:rsid w:val="00DE6649"/>
    <w:rsid w:val="00DE79BA"/>
    <w:rsid w:val="00DF019D"/>
    <w:rsid w:val="00DF271C"/>
    <w:rsid w:val="00DF2791"/>
    <w:rsid w:val="00DF35B5"/>
    <w:rsid w:val="00DF4E6E"/>
    <w:rsid w:val="00DF583C"/>
    <w:rsid w:val="00DF6660"/>
    <w:rsid w:val="00E01461"/>
    <w:rsid w:val="00E02F4C"/>
    <w:rsid w:val="00E03265"/>
    <w:rsid w:val="00E047AF"/>
    <w:rsid w:val="00E0518A"/>
    <w:rsid w:val="00E0588F"/>
    <w:rsid w:val="00E05CC2"/>
    <w:rsid w:val="00E06777"/>
    <w:rsid w:val="00E07227"/>
    <w:rsid w:val="00E07604"/>
    <w:rsid w:val="00E121A1"/>
    <w:rsid w:val="00E17F53"/>
    <w:rsid w:val="00E243D5"/>
    <w:rsid w:val="00E254BE"/>
    <w:rsid w:val="00E346B9"/>
    <w:rsid w:val="00E34A4A"/>
    <w:rsid w:val="00E3638B"/>
    <w:rsid w:val="00E36D31"/>
    <w:rsid w:val="00E43CE9"/>
    <w:rsid w:val="00E44EE9"/>
    <w:rsid w:val="00E4756A"/>
    <w:rsid w:val="00E507DB"/>
    <w:rsid w:val="00E50A0E"/>
    <w:rsid w:val="00E50FD6"/>
    <w:rsid w:val="00E512FB"/>
    <w:rsid w:val="00E53DDA"/>
    <w:rsid w:val="00E57595"/>
    <w:rsid w:val="00E5776B"/>
    <w:rsid w:val="00E57B2E"/>
    <w:rsid w:val="00E57EC8"/>
    <w:rsid w:val="00E60CF7"/>
    <w:rsid w:val="00E64F8C"/>
    <w:rsid w:val="00E660DE"/>
    <w:rsid w:val="00E667DD"/>
    <w:rsid w:val="00E67342"/>
    <w:rsid w:val="00E67CE1"/>
    <w:rsid w:val="00E70F7A"/>
    <w:rsid w:val="00E7106F"/>
    <w:rsid w:val="00E74067"/>
    <w:rsid w:val="00E744CC"/>
    <w:rsid w:val="00E74709"/>
    <w:rsid w:val="00E77038"/>
    <w:rsid w:val="00E8072F"/>
    <w:rsid w:val="00E80D20"/>
    <w:rsid w:val="00E81886"/>
    <w:rsid w:val="00E81FC9"/>
    <w:rsid w:val="00E836B2"/>
    <w:rsid w:val="00E83E04"/>
    <w:rsid w:val="00E8469B"/>
    <w:rsid w:val="00E877D7"/>
    <w:rsid w:val="00E879D4"/>
    <w:rsid w:val="00E90493"/>
    <w:rsid w:val="00E90829"/>
    <w:rsid w:val="00E91107"/>
    <w:rsid w:val="00E914E9"/>
    <w:rsid w:val="00E91DEC"/>
    <w:rsid w:val="00E92BC1"/>
    <w:rsid w:val="00E93586"/>
    <w:rsid w:val="00E94BA5"/>
    <w:rsid w:val="00E95408"/>
    <w:rsid w:val="00E95E56"/>
    <w:rsid w:val="00E96351"/>
    <w:rsid w:val="00E9658E"/>
    <w:rsid w:val="00EA0135"/>
    <w:rsid w:val="00EA2123"/>
    <w:rsid w:val="00EA5CF2"/>
    <w:rsid w:val="00EB664C"/>
    <w:rsid w:val="00EC243C"/>
    <w:rsid w:val="00EC25D8"/>
    <w:rsid w:val="00EC2668"/>
    <w:rsid w:val="00EC6474"/>
    <w:rsid w:val="00ED2874"/>
    <w:rsid w:val="00ED4842"/>
    <w:rsid w:val="00ED74A5"/>
    <w:rsid w:val="00ED7511"/>
    <w:rsid w:val="00ED7B96"/>
    <w:rsid w:val="00ED7E9B"/>
    <w:rsid w:val="00EF11D4"/>
    <w:rsid w:val="00EF2624"/>
    <w:rsid w:val="00EF6FB7"/>
    <w:rsid w:val="00F008B6"/>
    <w:rsid w:val="00F0422A"/>
    <w:rsid w:val="00F04AF2"/>
    <w:rsid w:val="00F05928"/>
    <w:rsid w:val="00F05AE4"/>
    <w:rsid w:val="00F06F97"/>
    <w:rsid w:val="00F10D66"/>
    <w:rsid w:val="00F12556"/>
    <w:rsid w:val="00F14A98"/>
    <w:rsid w:val="00F20999"/>
    <w:rsid w:val="00F2354D"/>
    <w:rsid w:val="00F2356E"/>
    <w:rsid w:val="00F308F0"/>
    <w:rsid w:val="00F320D2"/>
    <w:rsid w:val="00F37149"/>
    <w:rsid w:val="00F4077C"/>
    <w:rsid w:val="00F4135C"/>
    <w:rsid w:val="00F43BF4"/>
    <w:rsid w:val="00F440A3"/>
    <w:rsid w:val="00F459E9"/>
    <w:rsid w:val="00F45C32"/>
    <w:rsid w:val="00F4637F"/>
    <w:rsid w:val="00F46726"/>
    <w:rsid w:val="00F508C1"/>
    <w:rsid w:val="00F51F1F"/>
    <w:rsid w:val="00F53DDB"/>
    <w:rsid w:val="00F54AF1"/>
    <w:rsid w:val="00F61E80"/>
    <w:rsid w:val="00F65A93"/>
    <w:rsid w:val="00F722D9"/>
    <w:rsid w:val="00F72D32"/>
    <w:rsid w:val="00F74F5C"/>
    <w:rsid w:val="00F7691F"/>
    <w:rsid w:val="00F77C44"/>
    <w:rsid w:val="00F80670"/>
    <w:rsid w:val="00F838EB"/>
    <w:rsid w:val="00F852BD"/>
    <w:rsid w:val="00F86526"/>
    <w:rsid w:val="00F87073"/>
    <w:rsid w:val="00F874A9"/>
    <w:rsid w:val="00F91A45"/>
    <w:rsid w:val="00F922F5"/>
    <w:rsid w:val="00F95F51"/>
    <w:rsid w:val="00FA04FF"/>
    <w:rsid w:val="00FA106C"/>
    <w:rsid w:val="00FA212F"/>
    <w:rsid w:val="00FA2344"/>
    <w:rsid w:val="00FA498E"/>
    <w:rsid w:val="00FA4E85"/>
    <w:rsid w:val="00FA5A5D"/>
    <w:rsid w:val="00FA71E5"/>
    <w:rsid w:val="00FB2FD5"/>
    <w:rsid w:val="00FB4EF8"/>
    <w:rsid w:val="00FB65F9"/>
    <w:rsid w:val="00FB736D"/>
    <w:rsid w:val="00FC067A"/>
    <w:rsid w:val="00FC099C"/>
    <w:rsid w:val="00FC0EF9"/>
    <w:rsid w:val="00FC3A49"/>
    <w:rsid w:val="00FC4390"/>
    <w:rsid w:val="00FC55FA"/>
    <w:rsid w:val="00FC7193"/>
    <w:rsid w:val="00FC7375"/>
    <w:rsid w:val="00FC7F41"/>
    <w:rsid w:val="00FD04AD"/>
    <w:rsid w:val="00FD3F5B"/>
    <w:rsid w:val="00FD4426"/>
    <w:rsid w:val="00FD7D70"/>
    <w:rsid w:val="00FE0223"/>
    <w:rsid w:val="00FE2B13"/>
    <w:rsid w:val="00FE3AFA"/>
    <w:rsid w:val="00FE4469"/>
    <w:rsid w:val="00FE5D19"/>
    <w:rsid w:val="00FE7F05"/>
    <w:rsid w:val="00FF022D"/>
    <w:rsid w:val="00FF03F3"/>
    <w:rsid w:val="00FF75EC"/>
    <w:rsid w:val="527521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qFormat="1" w:unhideWhenUsed="0" w:uiPriority="99" w:semiHidden="0" w:name="Date"/>
    <w:lsdException w:uiPriority="99" w:name="Body Text First Indent"/>
    <w:lsdException w:uiPriority="99" w:name="Body Text First Indent 2"/>
    <w:lsdException w:qFormat="1"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lang w:val="en-US" w:eastAsia="zh-CN" w:bidi="ar-SA"/>
    </w:rPr>
  </w:style>
  <w:style w:type="paragraph" w:styleId="2">
    <w:name w:val="heading 1"/>
    <w:basedOn w:val="1"/>
    <w:next w:val="1"/>
    <w:link w:val="27"/>
    <w:qFormat/>
    <w:uiPriority w:val="99"/>
    <w:pPr>
      <w:keepNext/>
      <w:keepLines/>
      <w:spacing w:before="340" w:after="330" w:line="578" w:lineRule="auto"/>
      <w:jc w:val="center"/>
      <w:outlineLvl w:val="0"/>
    </w:pPr>
    <w:rPr>
      <w:rFonts w:eastAsia="黑体"/>
      <w:b/>
      <w:bCs/>
      <w:kern w:val="44"/>
      <w:sz w:val="28"/>
      <w:szCs w:val="44"/>
    </w:rPr>
  </w:style>
  <w:style w:type="paragraph" w:styleId="3">
    <w:name w:val="heading 2"/>
    <w:basedOn w:val="1"/>
    <w:next w:val="1"/>
    <w:link w:val="28"/>
    <w:qFormat/>
    <w:uiPriority w:val="0"/>
    <w:pPr>
      <w:keepNext/>
      <w:keepLines/>
      <w:spacing w:before="260" w:after="260" w:line="416" w:lineRule="auto"/>
      <w:outlineLvl w:val="1"/>
    </w:pPr>
    <w:rPr>
      <w:rFonts w:ascii="Arial" w:hAnsi="Arial"/>
      <w:b/>
      <w:bCs/>
      <w:szCs w:val="21"/>
    </w:rPr>
  </w:style>
  <w:style w:type="paragraph" w:styleId="4">
    <w:name w:val="heading 3"/>
    <w:basedOn w:val="1"/>
    <w:next w:val="1"/>
    <w:link w:val="29"/>
    <w:qFormat/>
    <w:uiPriority w:val="9"/>
    <w:pPr>
      <w:keepNext/>
      <w:keepLines/>
      <w:spacing w:before="260" w:after="260" w:line="416" w:lineRule="auto"/>
      <w:outlineLvl w:val="2"/>
    </w:pPr>
    <w:rPr>
      <w:b/>
      <w:bCs/>
      <w:szCs w:val="32"/>
    </w:rPr>
  </w:style>
  <w:style w:type="paragraph" w:styleId="5">
    <w:name w:val="heading 4"/>
    <w:basedOn w:val="1"/>
    <w:next w:val="1"/>
    <w:link w:val="30"/>
    <w:qFormat/>
    <w:uiPriority w:val="9"/>
    <w:pPr>
      <w:keepNext/>
      <w:keepLines/>
      <w:spacing w:before="280" w:after="290" w:line="376" w:lineRule="auto"/>
      <w:outlineLvl w:val="3"/>
    </w:pPr>
    <w:rPr>
      <w:rFonts w:ascii="Cambria" w:hAnsi="Cambria"/>
      <w:b/>
      <w:bCs/>
      <w:szCs w:val="28"/>
    </w:rPr>
  </w:style>
  <w:style w:type="paragraph" w:styleId="6">
    <w:name w:val="heading 5"/>
    <w:basedOn w:val="1"/>
    <w:next w:val="1"/>
    <w:link w:val="31"/>
    <w:qFormat/>
    <w:uiPriority w:val="9"/>
    <w:pPr>
      <w:keepNext/>
      <w:keepLines/>
      <w:spacing w:before="280" w:after="290" w:line="376" w:lineRule="auto"/>
      <w:outlineLvl w:val="4"/>
    </w:pPr>
    <w:rPr>
      <w:b/>
      <w:bCs/>
      <w:szCs w:val="28"/>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7">
    <w:name w:val="Note Heading"/>
    <w:basedOn w:val="1"/>
    <w:next w:val="1"/>
    <w:link w:val="47"/>
    <w:qFormat/>
    <w:uiPriority w:val="99"/>
    <w:pPr>
      <w:jc w:val="center"/>
    </w:pPr>
    <w:rPr>
      <w:szCs w:val="21"/>
    </w:rPr>
  </w:style>
  <w:style w:type="paragraph" w:styleId="8">
    <w:name w:val="Document Map"/>
    <w:basedOn w:val="1"/>
    <w:link w:val="52"/>
    <w:semiHidden/>
    <w:unhideWhenUsed/>
    <w:qFormat/>
    <w:uiPriority w:val="99"/>
    <w:rPr>
      <w:rFonts w:ascii="宋体"/>
      <w:sz w:val="18"/>
      <w:szCs w:val="18"/>
    </w:rPr>
  </w:style>
  <w:style w:type="paragraph" w:styleId="9">
    <w:name w:val="toa heading"/>
    <w:basedOn w:val="1"/>
    <w:next w:val="1"/>
    <w:semiHidden/>
    <w:qFormat/>
    <w:uiPriority w:val="0"/>
    <w:pPr>
      <w:spacing w:before="120"/>
    </w:pPr>
    <w:rPr>
      <w:rFonts w:ascii="Arial" w:hAnsi="Arial"/>
      <w:b/>
      <w:bCs/>
      <w:szCs w:val="21"/>
    </w:rPr>
  </w:style>
  <w:style w:type="paragraph" w:styleId="10">
    <w:name w:val="annotation text"/>
    <w:basedOn w:val="1"/>
    <w:link w:val="33"/>
    <w:qFormat/>
    <w:uiPriority w:val="99"/>
    <w:pPr>
      <w:jc w:val="left"/>
    </w:pPr>
    <w:rPr>
      <w:szCs w:val="21"/>
    </w:rPr>
  </w:style>
  <w:style w:type="paragraph" w:styleId="11">
    <w:name w:val="Salutation"/>
    <w:basedOn w:val="1"/>
    <w:next w:val="1"/>
    <w:link w:val="35"/>
    <w:qFormat/>
    <w:uiPriority w:val="99"/>
    <w:rPr>
      <w:szCs w:val="21"/>
    </w:rPr>
  </w:style>
  <w:style w:type="paragraph" w:styleId="12">
    <w:name w:val="Body Text"/>
    <w:basedOn w:val="1"/>
    <w:link w:val="44"/>
    <w:qFormat/>
    <w:uiPriority w:val="99"/>
    <w:pPr>
      <w:spacing w:after="120"/>
    </w:pPr>
    <w:rPr>
      <w:szCs w:val="21"/>
    </w:rPr>
  </w:style>
  <w:style w:type="paragraph" w:styleId="13">
    <w:name w:val="toc 3"/>
    <w:basedOn w:val="1"/>
    <w:next w:val="1"/>
    <w:autoRedefine/>
    <w:unhideWhenUsed/>
    <w:qFormat/>
    <w:uiPriority w:val="39"/>
    <w:pPr>
      <w:widowControl/>
      <w:spacing w:after="100" w:line="276" w:lineRule="auto"/>
      <w:ind w:left="440"/>
      <w:jc w:val="left"/>
    </w:pPr>
    <w:rPr>
      <w:sz w:val="22"/>
    </w:rPr>
  </w:style>
  <w:style w:type="paragraph" w:styleId="14">
    <w:name w:val="Plain Text"/>
    <w:basedOn w:val="1"/>
    <w:link w:val="42"/>
    <w:qFormat/>
    <w:uiPriority w:val="0"/>
    <w:rPr>
      <w:rFonts w:ascii="宋体" w:hAnsi="Courier New"/>
    </w:rPr>
  </w:style>
  <w:style w:type="paragraph" w:styleId="15">
    <w:name w:val="Date"/>
    <w:basedOn w:val="1"/>
    <w:next w:val="1"/>
    <w:link w:val="46"/>
    <w:qFormat/>
    <w:uiPriority w:val="99"/>
    <w:pPr>
      <w:ind w:left="100" w:leftChars="2500"/>
    </w:pPr>
    <w:rPr>
      <w:szCs w:val="21"/>
    </w:rPr>
  </w:style>
  <w:style w:type="paragraph" w:styleId="16">
    <w:name w:val="Balloon Text"/>
    <w:basedOn w:val="1"/>
    <w:link w:val="34"/>
    <w:semiHidden/>
    <w:unhideWhenUsed/>
    <w:qFormat/>
    <w:uiPriority w:val="99"/>
    <w:rPr>
      <w:sz w:val="18"/>
      <w:szCs w:val="18"/>
    </w:rPr>
  </w:style>
  <w:style w:type="paragraph" w:styleId="17">
    <w:name w:val="footer"/>
    <w:basedOn w:val="1"/>
    <w:link w:val="41"/>
    <w:unhideWhenUsed/>
    <w:qFormat/>
    <w:uiPriority w:val="99"/>
    <w:pPr>
      <w:tabs>
        <w:tab w:val="center" w:pos="4153"/>
        <w:tab w:val="right" w:pos="8306"/>
      </w:tabs>
      <w:snapToGrid w:val="0"/>
      <w:jc w:val="left"/>
    </w:pPr>
    <w:rPr>
      <w:sz w:val="18"/>
      <w:szCs w:val="18"/>
    </w:rPr>
  </w:style>
  <w:style w:type="paragraph" w:styleId="18">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39"/>
    <w:rPr>
      <w:szCs w:val="21"/>
    </w:rPr>
  </w:style>
  <w:style w:type="paragraph" w:styleId="20">
    <w:name w:val="toc 2"/>
    <w:basedOn w:val="1"/>
    <w:next w:val="1"/>
    <w:autoRedefine/>
    <w:qFormat/>
    <w:uiPriority w:val="39"/>
    <w:pPr>
      <w:ind w:left="420" w:leftChars="200"/>
    </w:pPr>
    <w:rPr>
      <w:szCs w:val="21"/>
    </w:rPr>
  </w:style>
  <w:style w:type="paragraph" w:styleId="21">
    <w:name w:val="annotation subject"/>
    <w:basedOn w:val="10"/>
    <w:next w:val="10"/>
    <w:link w:val="39"/>
    <w:semiHidden/>
    <w:unhideWhenUsed/>
    <w:qFormat/>
    <w:uiPriority w:val="99"/>
    <w:rPr>
      <w:rFonts w:ascii="Calibri" w:hAnsi="Calibri"/>
      <w:b/>
      <w:bCs/>
      <w:szCs w:val="22"/>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qFormat/>
    <w:uiPriority w:val="99"/>
    <w:rPr>
      <w:rFonts w:cs="Times New Roman"/>
      <w:color w:val="0000FF"/>
      <w:u w:val="single"/>
    </w:rPr>
  </w:style>
  <w:style w:type="character" w:styleId="26">
    <w:name w:val="annotation reference"/>
    <w:basedOn w:val="24"/>
    <w:qFormat/>
    <w:uiPriority w:val="99"/>
    <w:rPr>
      <w:rFonts w:eastAsia="宋体" w:cs="Times New Roman"/>
      <w:kern w:val="2"/>
      <w:sz w:val="21"/>
      <w:szCs w:val="21"/>
      <w:lang w:val="en-US" w:eastAsia="zh-CN" w:bidi="ar-SA"/>
    </w:rPr>
  </w:style>
  <w:style w:type="character" w:customStyle="1" w:styleId="27">
    <w:name w:val="标题 1 字符"/>
    <w:basedOn w:val="24"/>
    <w:link w:val="2"/>
    <w:qFormat/>
    <w:uiPriority w:val="99"/>
    <w:rPr>
      <w:rFonts w:eastAsia="黑体"/>
      <w:b/>
      <w:bCs/>
      <w:kern w:val="44"/>
      <w:sz w:val="28"/>
      <w:szCs w:val="44"/>
    </w:rPr>
  </w:style>
  <w:style w:type="character" w:customStyle="1" w:styleId="28">
    <w:name w:val="标题 2 字符"/>
    <w:basedOn w:val="24"/>
    <w:link w:val="3"/>
    <w:qFormat/>
    <w:uiPriority w:val="0"/>
    <w:rPr>
      <w:rFonts w:ascii="Arial" w:hAnsi="Arial" w:eastAsia="宋体" w:cs="Times New Roman"/>
      <w:b/>
      <w:bCs/>
      <w:szCs w:val="21"/>
    </w:rPr>
  </w:style>
  <w:style w:type="character" w:customStyle="1" w:styleId="29">
    <w:name w:val="标题 3 字符"/>
    <w:basedOn w:val="24"/>
    <w:link w:val="4"/>
    <w:qFormat/>
    <w:uiPriority w:val="9"/>
    <w:rPr>
      <w:rFonts w:ascii="Calibri" w:hAnsi="Calibri" w:eastAsia="宋体" w:cs="Times New Roman"/>
      <w:b/>
      <w:bCs/>
      <w:szCs w:val="32"/>
    </w:rPr>
  </w:style>
  <w:style w:type="character" w:customStyle="1" w:styleId="30">
    <w:name w:val="标题 4 字符"/>
    <w:basedOn w:val="24"/>
    <w:link w:val="5"/>
    <w:qFormat/>
    <w:uiPriority w:val="9"/>
    <w:rPr>
      <w:rFonts w:ascii="Cambria" w:hAnsi="Cambria" w:eastAsia="宋体" w:cs="Times New Roman"/>
      <w:b/>
      <w:bCs/>
      <w:szCs w:val="28"/>
    </w:rPr>
  </w:style>
  <w:style w:type="character" w:customStyle="1" w:styleId="31">
    <w:name w:val="标题 5 字符"/>
    <w:basedOn w:val="24"/>
    <w:link w:val="6"/>
    <w:qFormat/>
    <w:uiPriority w:val="9"/>
    <w:rPr>
      <w:rFonts w:ascii="Calibri" w:hAnsi="Calibri" w:eastAsia="宋体" w:cs="Times New Roman"/>
      <w:b/>
      <w:bCs/>
      <w:szCs w:val="28"/>
    </w:rPr>
  </w:style>
  <w:style w:type="paragraph" w:customStyle="1" w:styleId="32">
    <w:name w:val="TOC Heading"/>
    <w:basedOn w:val="2"/>
    <w:next w:val="1"/>
    <w:qFormat/>
    <w:uiPriority w:val="39"/>
    <w:pPr>
      <w:widowControl/>
      <w:spacing w:before="480" w:after="0" w:line="276" w:lineRule="auto"/>
      <w:outlineLvl w:val="9"/>
    </w:pPr>
    <w:rPr>
      <w:rFonts w:ascii="Cambria" w:hAnsi="Cambria" w:eastAsia="宋体"/>
      <w:color w:val="365F91"/>
      <w:kern w:val="0"/>
      <w:szCs w:val="28"/>
    </w:rPr>
  </w:style>
  <w:style w:type="character" w:customStyle="1" w:styleId="33">
    <w:name w:val="批注文字 字符"/>
    <w:basedOn w:val="24"/>
    <w:link w:val="10"/>
    <w:qFormat/>
    <w:uiPriority w:val="0"/>
    <w:rPr>
      <w:rFonts w:ascii="Times New Roman" w:hAnsi="Times New Roman" w:eastAsia="宋体" w:cs="Times New Roman"/>
      <w:szCs w:val="21"/>
    </w:rPr>
  </w:style>
  <w:style w:type="character" w:customStyle="1" w:styleId="34">
    <w:name w:val="批注框文本 字符"/>
    <w:basedOn w:val="24"/>
    <w:link w:val="16"/>
    <w:semiHidden/>
    <w:qFormat/>
    <w:uiPriority w:val="99"/>
    <w:rPr>
      <w:rFonts w:ascii="Calibri" w:hAnsi="Calibri" w:eastAsia="宋体" w:cs="Times New Roman"/>
      <w:sz w:val="18"/>
      <w:szCs w:val="18"/>
    </w:rPr>
  </w:style>
  <w:style w:type="character" w:customStyle="1" w:styleId="35">
    <w:name w:val="称呼 字符"/>
    <w:basedOn w:val="24"/>
    <w:link w:val="11"/>
    <w:qFormat/>
    <w:uiPriority w:val="99"/>
    <w:rPr>
      <w:rFonts w:ascii="Times New Roman" w:hAnsi="Times New Roman" w:eastAsia="宋体" w:cs="Times New Roman"/>
      <w:szCs w:val="21"/>
    </w:rPr>
  </w:style>
  <w:style w:type="character" w:customStyle="1" w:styleId="36">
    <w:name w:val="notnullcss1"/>
    <w:basedOn w:val="24"/>
    <w:qFormat/>
    <w:uiPriority w:val="99"/>
    <w:rPr>
      <w:rFonts w:eastAsia="宋体" w:cs="Times New Roman"/>
      <w:color w:val="FF0000"/>
      <w:kern w:val="2"/>
      <w:sz w:val="24"/>
      <w:szCs w:val="24"/>
      <w:lang w:val="en-US" w:eastAsia="zh-CN" w:bidi="ar-SA"/>
    </w:rPr>
  </w:style>
  <w:style w:type="paragraph" w:customStyle="1" w:styleId="37">
    <w:name w:val="xl61"/>
    <w:basedOn w:val="1"/>
    <w:qFormat/>
    <w:uiPriority w:val="99"/>
    <w:pPr>
      <w:widowControl/>
      <w:spacing w:before="100" w:after="100"/>
      <w:jc w:val="right"/>
    </w:pPr>
    <w:rPr>
      <w:rFonts w:ascii="Arial Unicode MS" w:eastAsia="Arial Unicode MS"/>
      <w:sz w:val="18"/>
      <w:szCs w:val="18"/>
    </w:rPr>
  </w:style>
  <w:style w:type="paragraph" w:styleId="38">
    <w:name w:val="List Paragraph"/>
    <w:basedOn w:val="1"/>
    <w:qFormat/>
    <w:uiPriority w:val="0"/>
    <w:pPr>
      <w:ind w:firstLine="420" w:firstLineChars="200"/>
    </w:pPr>
  </w:style>
  <w:style w:type="character" w:customStyle="1" w:styleId="39">
    <w:name w:val="批注主题 字符"/>
    <w:basedOn w:val="33"/>
    <w:link w:val="21"/>
    <w:semiHidden/>
    <w:qFormat/>
    <w:uiPriority w:val="99"/>
    <w:rPr>
      <w:rFonts w:ascii="Calibri" w:hAnsi="Calibri" w:eastAsia="宋体" w:cs="Times New Roman"/>
      <w:b/>
      <w:bCs/>
      <w:szCs w:val="21"/>
    </w:rPr>
  </w:style>
  <w:style w:type="character" w:customStyle="1" w:styleId="40">
    <w:name w:val="页眉 字符"/>
    <w:basedOn w:val="24"/>
    <w:link w:val="18"/>
    <w:qFormat/>
    <w:uiPriority w:val="0"/>
    <w:rPr>
      <w:rFonts w:ascii="Calibri" w:hAnsi="Calibri" w:eastAsia="宋体" w:cs="Times New Roman"/>
      <w:sz w:val="18"/>
      <w:szCs w:val="18"/>
    </w:rPr>
  </w:style>
  <w:style w:type="character" w:customStyle="1" w:styleId="41">
    <w:name w:val="页脚 字符"/>
    <w:basedOn w:val="24"/>
    <w:link w:val="17"/>
    <w:qFormat/>
    <w:uiPriority w:val="99"/>
    <w:rPr>
      <w:rFonts w:ascii="Calibri" w:hAnsi="Calibri" w:eastAsia="宋体" w:cs="Times New Roman"/>
      <w:sz w:val="18"/>
      <w:szCs w:val="18"/>
    </w:rPr>
  </w:style>
  <w:style w:type="character" w:customStyle="1" w:styleId="42">
    <w:name w:val="纯文本 字符"/>
    <w:basedOn w:val="24"/>
    <w:link w:val="14"/>
    <w:qFormat/>
    <w:uiPriority w:val="0"/>
    <w:rPr>
      <w:rFonts w:ascii="宋体" w:hAnsi="Courier New" w:eastAsia="宋体" w:cs="Times New Roman"/>
      <w:szCs w:val="20"/>
    </w:rPr>
  </w:style>
  <w:style w:type="character" w:customStyle="1" w:styleId="43">
    <w:name w:val="headline-content2"/>
    <w:basedOn w:val="24"/>
    <w:qFormat/>
    <w:uiPriority w:val="0"/>
    <w:rPr>
      <w:rFonts w:eastAsia="宋体" w:cs="Times New Roman"/>
      <w:kern w:val="2"/>
      <w:sz w:val="24"/>
      <w:szCs w:val="24"/>
      <w:lang w:val="en-US" w:eastAsia="zh-CN" w:bidi="ar-SA"/>
    </w:rPr>
  </w:style>
  <w:style w:type="character" w:customStyle="1" w:styleId="44">
    <w:name w:val="正文文本 字符"/>
    <w:basedOn w:val="24"/>
    <w:link w:val="12"/>
    <w:qFormat/>
    <w:uiPriority w:val="99"/>
    <w:rPr>
      <w:rFonts w:ascii="Times New Roman" w:hAnsi="Times New Roman" w:eastAsia="宋体" w:cs="Times New Roman"/>
      <w:szCs w:val="21"/>
    </w:rPr>
  </w:style>
  <w:style w:type="paragraph" w:customStyle="1" w:styleId="45">
    <w:name w:val="write2"/>
    <w:basedOn w:val="1"/>
    <w:qFormat/>
    <w:uiPriority w:val="99"/>
    <w:pPr>
      <w:widowControl/>
      <w:tabs>
        <w:tab w:val="left" w:pos="709"/>
      </w:tabs>
      <w:overflowPunct w:val="0"/>
      <w:autoSpaceDE w:val="0"/>
      <w:autoSpaceDN w:val="0"/>
      <w:adjustRightInd w:val="0"/>
      <w:textAlignment w:val="baseline"/>
    </w:pPr>
    <w:rPr>
      <w:rFonts w:ascii="Helvetica-Narrow" w:hAnsi="Helvetica-Narrow"/>
      <w:sz w:val="24"/>
      <w:szCs w:val="24"/>
      <w:lang w:val="en-AU"/>
    </w:rPr>
  </w:style>
  <w:style w:type="character" w:customStyle="1" w:styleId="46">
    <w:name w:val="日期 字符"/>
    <w:basedOn w:val="24"/>
    <w:link w:val="15"/>
    <w:qFormat/>
    <w:uiPriority w:val="99"/>
    <w:rPr>
      <w:rFonts w:ascii="Times New Roman" w:hAnsi="Times New Roman" w:eastAsia="宋体" w:cs="Times New Roman"/>
      <w:szCs w:val="21"/>
    </w:rPr>
  </w:style>
  <w:style w:type="character" w:customStyle="1" w:styleId="47">
    <w:name w:val="注释标题 字符"/>
    <w:basedOn w:val="24"/>
    <w:link w:val="7"/>
    <w:qFormat/>
    <w:uiPriority w:val="99"/>
    <w:rPr>
      <w:rFonts w:ascii="Times New Roman" w:hAnsi="Times New Roman" w:eastAsia="宋体" w:cs="Times New Roman"/>
      <w:szCs w:val="21"/>
    </w:rPr>
  </w:style>
  <w:style w:type="paragraph" w:customStyle="1" w:styleId="48">
    <w:name w:val="标题5"/>
    <w:basedOn w:val="1"/>
    <w:qFormat/>
    <w:uiPriority w:val="0"/>
    <w:pPr>
      <w:keepNext/>
      <w:keepLines/>
      <w:spacing w:before="280" w:after="290" w:line="376" w:lineRule="auto"/>
      <w:ind w:left="420" w:hanging="420"/>
      <w:outlineLvl w:val="4"/>
    </w:pPr>
    <w:rPr>
      <w:rFonts w:ascii="宋体" w:hAnsi="宋体"/>
      <w:b/>
      <w:bCs/>
      <w:szCs w:val="21"/>
    </w:rPr>
  </w:style>
  <w:style w:type="paragraph" w:customStyle="1" w:styleId="49">
    <w:name w:val="Revision"/>
    <w:hidden/>
    <w:semiHidden/>
    <w:qFormat/>
    <w:uiPriority w:val="99"/>
    <w:rPr>
      <w:rFonts w:ascii="Times New Roman" w:hAnsi="Times New Roman" w:eastAsia="宋体" w:cs="Times New Roman"/>
      <w:kern w:val="2"/>
      <w:sz w:val="21"/>
      <w:szCs w:val="22"/>
      <w:lang w:val="en-US" w:eastAsia="zh-CN" w:bidi="ar-SA"/>
    </w:rPr>
  </w:style>
  <w:style w:type="character" w:customStyle="1" w:styleId="50">
    <w:name w:val="正文的样式 Char"/>
    <w:basedOn w:val="24"/>
    <w:link w:val="51"/>
    <w:qFormat/>
    <w:uiPriority w:val="0"/>
    <w:rPr>
      <w:kern w:val="2"/>
      <w:sz w:val="21"/>
      <w:szCs w:val="24"/>
    </w:rPr>
  </w:style>
  <w:style w:type="paragraph" w:customStyle="1" w:styleId="51">
    <w:name w:val="正文的样式"/>
    <w:basedOn w:val="1"/>
    <w:link w:val="50"/>
    <w:qFormat/>
    <w:uiPriority w:val="0"/>
    <w:pPr>
      <w:spacing w:before="100" w:after="100"/>
    </w:pPr>
    <w:rPr>
      <w:szCs w:val="24"/>
    </w:rPr>
  </w:style>
  <w:style w:type="character" w:customStyle="1" w:styleId="52">
    <w:name w:val="文档结构图 字符"/>
    <w:basedOn w:val="24"/>
    <w:link w:val="8"/>
    <w:semiHidden/>
    <w:qFormat/>
    <w:uiPriority w:val="99"/>
    <w:rPr>
      <w:rFonts w:ascii="宋体"/>
      <w:kern w:val="2"/>
      <w:sz w:val="18"/>
      <w:szCs w:val="18"/>
    </w:rPr>
  </w:style>
  <w:style w:type="character" w:styleId="53">
    <w:name w:val="Placeholder Text"/>
    <w:basedOn w:val="24"/>
    <w:semiHidden/>
    <w:qFormat/>
    <w:uiPriority w:val="99"/>
    <w:rPr>
      <w:color w:val="auto"/>
    </w:rPr>
  </w:style>
  <w:style w:type="character" w:customStyle="1" w:styleId="54">
    <w:name w:val="批注文字 Char"/>
    <w:qFormat/>
    <w:uiPriority w:val="99"/>
    <w:rPr>
      <w:rFonts w:ascii="Times New Roman" w:hAnsi="Times New Roman"/>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BC72A-41F8-4B8F-9B24-5F8F8B269E10}">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Pages>
  <Words>664</Words>
  <Characters>1035</Characters>
  <Lines>202</Lines>
  <Paragraphs>165</Paragraphs>
  <TotalTime>2</TotalTime>
  <ScaleCrop>false</ScaleCrop>
  <LinksUpToDate>false</LinksUpToDate>
  <CharactersWithSpaces>1133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2025-08-18T06:01:00Z</dcterms:created>
  <dc:creator>DELL</dc:creator>
  <cp:lastModifiedBy>作业本</cp:lastModifiedBy>
  <dcterms:modified xsi:type="dcterms:W3CDTF">2025-08-20T01:25:04Z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4CC8E17943C24C1B9781C6DAE692863D_13</vt:lpwstr>
  </property>
</Properties>
</file>